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7D" w:rsidRDefault="00DE3927">
      <w:pPr>
        <w:spacing w:beforeLines="50" w:before="156" w:afterLines="100" w:after="312" w:line="560" w:lineRule="exact"/>
        <w:outlineLvl w:val="0"/>
        <w:rPr>
          <w:rFonts w:ascii="黑体" w:eastAsia="黑体" w:hAnsi="黑体"/>
          <w:sz w:val="32"/>
          <w:szCs w:val="32"/>
        </w:rPr>
      </w:pPr>
      <w:bookmarkStart w:id="0" w:name="_Toc11064"/>
      <w:bookmarkStart w:id="1" w:name="_Toc20555"/>
      <w:bookmarkStart w:id="2" w:name="_Toc28442"/>
      <w:bookmarkStart w:id="3" w:name="_Toc32623"/>
      <w:bookmarkStart w:id="4" w:name="_Toc6892"/>
      <w:bookmarkStart w:id="5" w:name="_Toc26470"/>
      <w:bookmarkStart w:id="6" w:name="_Toc18335"/>
      <w:bookmarkStart w:id="7" w:name="_Toc9979"/>
      <w:bookmarkStart w:id="8" w:name="_Toc8988"/>
      <w:bookmarkStart w:id="9" w:name="_Toc17619"/>
      <w:bookmarkStart w:id="10" w:name="_Toc24435"/>
      <w:bookmarkStart w:id="11" w:name="_Toc16669"/>
      <w:bookmarkStart w:id="12" w:name="_Toc18978"/>
      <w:bookmarkStart w:id="13" w:name="_Toc11618"/>
      <w:r>
        <w:rPr>
          <w:rFonts w:ascii="黑体" w:eastAsia="黑体" w:hAnsi="黑体" w:hint="eastAsia"/>
          <w:sz w:val="32"/>
          <w:szCs w:val="32"/>
        </w:rPr>
        <w:t>附录2：</w:t>
      </w:r>
    </w:p>
    <w:p w:rsidR="00D8367D" w:rsidRDefault="00DE3927">
      <w:pPr>
        <w:spacing w:beforeLines="50" w:before="156" w:afterLines="100" w:after="312" w:line="560" w:lineRule="exact"/>
        <w:jc w:val="center"/>
        <w:outlineLvl w:val="1"/>
        <w:rPr>
          <w:rFonts w:ascii="黑体" w:eastAsia="黑体" w:hAnsi="黑体"/>
          <w:sz w:val="36"/>
          <w:szCs w:val="36"/>
        </w:rPr>
      </w:pPr>
      <w:bookmarkStart w:id="14" w:name="_Toc5500"/>
      <w:bookmarkStart w:id="15" w:name="_Toc3499"/>
      <w:bookmarkStart w:id="16" w:name="_Toc1033"/>
      <w:bookmarkStart w:id="17" w:name="_Toc12573"/>
      <w:bookmarkStart w:id="18" w:name="_Toc7662"/>
      <w:bookmarkStart w:id="19" w:name="_Toc29138"/>
      <w:bookmarkStart w:id="20" w:name="_Toc27178"/>
      <w:bookmarkStart w:id="21" w:name="_Toc20455"/>
      <w:bookmarkStart w:id="22" w:name="_Toc19911"/>
      <w:bookmarkStart w:id="23" w:name="_Toc14772"/>
      <w:bookmarkStart w:id="24" w:name="_Toc10312"/>
      <w:bookmarkStart w:id="25" w:name="_Toc31603"/>
      <w:bookmarkStart w:id="26" w:name="_Toc13823"/>
      <w:bookmarkStart w:id="27" w:name="_Toc28104"/>
      <w:r>
        <w:rPr>
          <w:rFonts w:ascii="方正小标宋简体" w:eastAsia="方正小标宋简体" w:hAnsi="方正小标宋简体" w:cs="方正小标宋简体" w:hint="eastAsia"/>
          <w:sz w:val="44"/>
          <w:szCs w:val="44"/>
        </w:rPr>
        <w:t>治疗子系统检查要点</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D8367D" w:rsidRDefault="00DE3927">
      <w:pPr>
        <w:adjustRightInd w:val="0"/>
        <w:snapToGrid w:val="0"/>
        <w:spacing w:line="560" w:lineRule="exact"/>
        <w:jc w:val="center"/>
        <w:outlineLvl w:val="0"/>
        <w:rPr>
          <w:rFonts w:ascii="黑体" w:eastAsia="黑体" w:hAnsi="黑体" w:cs="宋体"/>
          <w:sz w:val="36"/>
          <w:szCs w:val="36"/>
        </w:rPr>
      </w:pPr>
      <w:r>
        <w:rPr>
          <w:rFonts w:ascii="黑体" w:eastAsia="黑体" w:hAnsi="黑体" w:cs="宋体" w:hint="eastAsia"/>
          <w:sz w:val="36"/>
          <w:szCs w:val="36"/>
        </w:rPr>
        <w:t>第五章  激光定位系统</w:t>
      </w:r>
      <w:bookmarkEnd w:id="0"/>
      <w:bookmarkEnd w:id="1"/>
      <w:bookmarkEnd w:id="2"/>
      <w:bookmarkEnd w:id="3"/>
      <w:bookmarkEnd w:id="4"/>
      <w:bookmarkEnd w:id="5"/>
      <w:bookmarkEnd w:id="6"/>
      <w:bookmarkEnd w:id="7"/>
      <w:bookmarkEnd w:id="8"/>
      <w:bookmarkEnd w:id="9"/>
      <w:bookmarkEnd w:id="10"/>
      <w:bookmarkEnd w:id="11"/>
      <w:bookmarkEnd w:id="12"/>
      <w:bookmarkEnd w:id="13"/>
    </w:p>
    <w:p w:rsidR="00D8367D" w:rsidRPr="00B85985" w:rsidRDefault="00B85985" w:rsidP="00B85985">
      <w:pPr>
        <w:spacing w:line="560" w:lineRule="exact"/>
        <w:jc w:val="center"/>
        <w:rPr>
          <w:rFonts w:ascii="仿宋_GB2312" w:eastAsia="仿宋_GB2312" w:hAnsi="黑体" w:cs="宋体"/>
          <w:sz w:val="36"/>
          <w:szCs w:val="36"/>
        </w:rPr>
      </w:pPr>
      <w:r w:rsidRPr="00B85985">
        <w:rPr>
          <w:rFonts w:ascii="仿宋_GB2312" w:eastAsia="仿宋_GB2312" w:hAnsi="黑体" w:cs="宋体" w:hint="eastAsia"/>
          <w:sz w:val="36"/>
          <w:szCs w:val="36"/>
        </w:rPr>
        <w:t>（征求意见稿）</w:t>
      </w:r>
    </w:p>
    <w:p w:rsidR="00D8367D" w:rsidRDefault="00DE3927">
      <w:pPr>
        <w:spacing w:line="560" w:lineRule="exact"/>
        <w:outlineLvl w:val="1"/>
        <w:rPr>
          <w:rFonts w:ascii="黑体" w:eastAsia="黑体" w:hAnsi="黑体" w:cs="黑体"/>
          <w:sz w:val="32"/>
          <w:szCs w:val="32"/>
        </w:rPr>
      </w:pPr>
      <w:bookmarkStart w:id="28" w:name="_Toc16416"/>
      <w:bookmarkStart w:id="29" w:name="_Toc19676"/>
      <w:bookmarkStart w:id="30" w:name="_Toc29081"/>
      <w:bookmarkStart w:id="31" w:name="_Toc24750"/>
      <w:bookmarkStart w:id="32" w:name="_Toc12617"/>
      <w:bookmarkStart w:id="33" w:name="_Toc11623"/>
      <w:bookmarkStart w:id="34" w:name="_Toc3335"/>
      <w:bookmarkStart w:id="35" w:name="_Toc32606"/>
      <w:bookmarkStart w:id="36" w:name="_Toc12645"/>
      <w:bookmarkStart w:id="37" w:name="_Toc3788"/>
      <w:bookmarkStart w:id="38" w:name="_Toc7914"/>
      <w:bookmarkStart w:id="39" w:name="_Toc8263"/>
      <w:bookmarkStart w:id="40" w:name="_Toc29833"/>
      <w:bookmarkStart w:id="41" w:name="_Toc15345"/>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8367D" w:rsidRDefault="00DE3927">
      <w:pPr>
        <w:spacing w:line="560" w:lineRule="exact"/>
        <w:ind w:firstLineChars="200" w:firstLine="640"/>
        <w:outlineLvl w:val="2"/>
        <w:rPr>
          <w:rFonts w:ascii="楷体" w:eastAsia="楷体" w:hAnsi="楷体" w:cs="楷体"/>
          <w:sz w:val="32"/>
          <w:szCs w:val="32"/>
        </w:rPr>
      </w:pPr>
      <w:bookmarkStart w:id="42" w:name="_Toc1323"/>
      <w:bookmarkStart w:id="43" w:name="_Toc24392"/>
      <w:bookmarkStart w:id="44" w:name="_Toc20604"/>
      <w:bookmarkStart w:id="45" w:name="_Toc13856"/>
      <w:bookmarkStart w:id="46" w:name="_Toc30279"/>
      <w:bookmarkStart w:id="47" w:name="_Toc3412"/>
      <w:bookmarkStart w:id="48" w:name="_Toc32610"/>
      <w:bookmarkStart w:id="49" w:name="_Toc31419"/>
      <w:bookmarkStart w:id="50" w:name="_Toc9089"/>
      <w:bookmarkStart w:id="51" w:name="_Toc16166"/>
      <w:bookmarkStart w:id="52" w:name="_Toc10059"/>
      <w:bookmarkStart w:id="53" w:name="_Toc23295"/>
      <w:bookmarkStart w:id="54" w:name="_Toc16096"/>
      <w:bookmarkStart w:id="55" w:name="_Toc19882"/>
      <w:r>
        <w:rPr>
          <w:rFonts w:ascii="楷体" w:eastAsia="楷体" w:hAnsi="楷体" w:cs="楷体"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D8367D" w:rsidRDefault="00DE3927">
      <w:pPr>
        <w:spacing w:line="560" w:lineRule="exact"/>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激光定位系统在碳离子/质子治疗系统中与其他定位系统配套使用，使用时投射出用作患者体表标记位置的参考点，起患者定位的作用。</w:t>
      </w:r>
    </w:p>
    <w:p w:rsidR="00D8367D" w:rsidRDefault="00DE3927">
      <w:pPr>
        <w:spacing w:line="560" w:lineRule="exact"/>
        <w:ind w:firstLineChars="200" w:firstLine="640"/>
        <w:outlineLvl w:val="2"/>
        <w:rPr>
          <w:rFonts w:ascii="楷体" w:eastAsia="楷体" w:hAnsi="楷体" w:cs="楷体"/>
          <w:sz w:val="32"/>
          <w:szCs w:val="32"/>
        </w:rPr>
      </w:pPr>
      <w:bookmarkStart w:id="56" w:name="_Toc30489"/>
      <w:bookmarkStart w:id="57" w:name="_Toc24298"/>
      <w:bookmarkStart w:id="58" w:name="_Toc2933"/>
      <w:bookmarkStart w:id="59" w:name="_Toc7840"/>
      <w:bookmarkStart w:id="60" w:name="_Toc31875"/>
      <w:bookmarkStart w:id="61" w:name="_Toc19231"/>
      <w:bookmarkStart w:id="62" w:name="_Toc21361"/>
      <w:bookmarkStart w:id="63" w:name="_Toc1377"/>
      <w:bookmarkStart w:id="64" w:name="_Toc10966"/>
      <w:bookmarkStart w:id="65" w:name="_Toc10153"/>
      <w:bookmarkStart w:id="66" w:name="_Toc2337"/>
      <w:bookmarkStart w:id="67" w:name="_Toc1022"/>
      <w:bookmarkStart w:id="68" w:name="_Toc11385"/>
      <w:bookmarkStart w:id="69" w:name="_Toc1195"/>
      <w:r>
        <w:rPr>
          <w:rFonts w:ascii="楷体" w:eastAsia="楷体" w:hAnsi="楷体" w:cs="楷体"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8367D" w:rsidRDefault="00DE3927">
      <w:pPr>
        <w:spacing w:line="560" w:lineRule="exact"/>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激光灯在空间中投射出激光面，在接触到患者时形成激光线。每条激光线确定一个平面，这些平面相交的点确定了室内的等中心点，使得操作者能够根据患者体表标记进行重复定位。</w:t>
      </w:r>
    </w:p>
    <w:p w:rsidR="00D8367D" w:rsidRDefault="00DE3927">
      <w:pPr>
        <w:spacing w:line="560" w:lineRule="exact"/>
        <w:ind w:firstLineChars="200" w:firstLine="640"/>
        <w:outlineLvl w:val="2"/>
        <w:rPr>
          <w:rFonts w:ascii="楷体" w:eastAsia="楷体" w:hAnsi="楷体" w:cs="楷体"/>
          <w:sz w:val="32"/>
          <w:szCs w:val="32"/>
        </w:rPr>
      </w:pPr>
      <w:bookmarkStart w:id="70" w:name="_Toc5746"/>
      <w:bookmarkStart w:id="71" w:name="_Toc32465"/>
      <w:bookmarkStart w:id="72" w:name="_Toc6356"/>
      <w:bookmarkStart w:id="73" w:name="_Toc13573"/>
      <w:bookmarkStart w:id="74" w:name="_Toc11320"/>
      <w:bookmarkStart w:id="75" w:name="_Toc27713"/>
      <w:bookmarkStart w:id="76" w:name="_Toc24429"/>
      <w:bookmarkStart w:id="77" w:name="_Toc25655"/>
      <w:bookmarkStart w:id="78" w:name="_Toc26756"/>
      <w:bookmarkStart w:id="79" w:name="_Toc16430"/>
      <w:bookmarkStart w:id="80" w:name="_Toc17192"/>
      <w:bookmarkStart w:id="81" w:name="_Toc16324"/>
      <w:bookmarkStart w:id="82" w:name="_Toc7072"/>
      <w:bookmarkStart w:id="83" w:name="_Toc18595"/>
      <w:r>
        <w:rPr>
          <w:rFonts w:ascii="楷体" w:eastAsia="楷体" w:hAnsi="楷体" w:cs="楷体" w:hint="eastAsia"/>
          <w:sz w:val="32"/>
          <w:szCs w:val="32"/>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D8367D" w:rsidRDefault="00DE3927">
      <w:pPr>
        <w:spacing w:line="560" w:lineRule="exact"/>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激光定位系统由电源控制盒、激光灯（十字型或一字型）、连接线和接地线组成。</w:t>
      </w:r>
    </w:p>
    <w:p w:rsidR="00D8367D" w:rsidRDefault="00DE3927">
      <w:pPr>
        <w:spacing w:line="560" w:lineRule="exact"/>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最常见的安装包含若干个激光灯：通常根据治疗室内的实际情况进行激光灯的布局和安装，以保证患者在摆位位置处的每个平面（矢状面、冠状面、横断面）均有激光线覆盖，且无遮挡。</w:t>
      </w:r>
    </w:p>
    <w:p w:rsidR="00D8367D" w:rsidRDefault="00DE3927">
      <w:pPr>
        <w:spacing w:line="560" w:lineRule="exact"/>
        <w:outlineLvl w:val="1"/>
        <w:rPr>
          <w:rFonts w:ascii="楷体" w:eastAsia="黑体" w:hAnsi="楷体" w:cs="楷体"/>
          <w:sz w:val="32"/>
          <w:szCs w:val="32"/>
        </w:rPr>
      </w:pPr>
      <w:bookmarkStart w:id="84" w:name="_Toc572"/>
      <w:bookmarkStart w:id="85" w:name="_Toc5745"/>
      <w:bookmarkStart w:id="86" w:name="_Toc29648"/>
      <w:bookmarkStart w:id="87" w:name="_Toc13137"/>
      <w:bookmarkStart w:id="88" w:name="_Toc31644"/>
      <w:bookmarkStart w:id="89" w:name="_Toc5824"/>
      <w:bookmarkStart w:id="90" w:name="_Toc5989"/>
      <w:bookmarkStart w:id="91" w:name="_Toc32121"/>
      <w:bookmarkStart w:id="92" w:name="_Toc21436"/>
      <w:bookmarkStart w:id="93" w:name="_Toc8883"/>
      <w:bookmarkStart w:id="94" w:name="_Toc10201"/>
      <w:bookmarkStart w:id="95" w:name="_Toc18343"/>
      <w:bookmarkStart w:id="96" w:name="_Toc14291"/>
      <w:bookmarkStart w:id="97" w:name="_Toc14912"/>
      <w:r>
        <w:rPr>
          <w:rFonts w:ascii="黑体" w:eastAsia="黑体" w:hAnsi="黑体" w:cs="黑体" w:hint="eastAsia"/>
          <w:sz w:val="32"/>
          <w:szCs w:val="32"/>
        </w:rPr>
        <w:t>二、</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Ansi="黑体" w:cs="黑体" w:hint="eastAsia"/>
          <w:sz w:val="32"/>
          <w:szCs w:val="32"/>
        </w:rPr>
        <w:t>主要技术指标</w:t>
      </w:r>
    </w:p>
    <w:tbl>
      <w:tblPr>
        <w:tblStyle w:val="a5"/>
        <w:tblW w:w="8519" w:type="dxa"/>
        <w:jc w:val="center"/>
        <w:tblInd w:w="0" w:type="dxa"/>
        <w:tblCellMar>
          <w:left w:w="108" w:type="dxa"/>
          <w:right w:w="108" w:type="dxa"/>
        </w:tblCellMar>
        <w:tblLook w:val="04A0" w:firstRow="1" w:lastRow="0" w:firstColumn="1" w:lastColumn="0" w:noHBand="0" w:noVBand="1"/>
      </w:tblPr>
      <w:tblGrid>
        <w:gridCol w:w="812"/>
        <w:gridCol w:w="1943"/>
        <w:gridCol w:w="3194"/>
        <w:gridCol w:w="2570"/>
      </w:tblGrid>
      <w:tr w:rsidR="00D8367D">
        <w:trPr>
          <w:trHeight w:val="456"/>
          <w:tblHeade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b/>
                <w:bCs/>
                <w:sz w:val="24"/>
              </w:rPr>
            </w:pPr>
            <w:r>
              <w:rPr>
                <w:rFonts w:ascii="仿宋" w:eastAsia="仿宋" w:hAnsi="仿宋" w:cs="仿宋_GB2312" w:hint="eastAsia"/>
                <w:b/>
                <w:bCs/>
                <w:sz w:val="24"/>
              </w:rPr>
              <w:t>序号</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b/>
                <w:bCs/>
                <w:sz w:val="24"/>
              </w:rPr>
            </w:pPr>
            <w:r>
              <w:rPr>
                <w:rFonts w:ascii="仿宋" w:eastAsia="仿宋" w:hAnsi="仿宋" w:cs="仿宋_GB2312" w:hint="eastAsia"/>
                <w:b/>
                <w:bCs/>
                <w:sz w:val="24"/>
              </w:rPr>
              <w:t>检验项目</w:t>
            </w:r>
          </w:p>
        </w:tc>
        <w:tc>
          <w:tcPr>
            <w:tcW w:w="3194" w:type="dxa"/>
            <w:vAlign w:val="center"/>
          </w:tcPr>
          <w:p w:rsidR="00D8367D" w:rsidRDefault="00DE3927">
            <w:pPr>
              <w:autoSpaceDE w:val="0"/>
              <w:autoSpaceDN w:val="0"/>
              <w:spacing w:line="360" w:lineRule="auto"/>
              <w:ind w:right="-96"/>
              <w:jc w:val="center"/>
              <w:rPr>
                <w:rFonts w:ascii="仿宋" w:eastAsia="仿宋" w:hAnsi="仿宋" w:cs="仿宋_GB2312"/>
                <w:b/>
                <w:bCs/>
                <w:sz w:val="24"/>
              </w:rPr>
            </w:pPr>
            <w:r>
              <w:rPr>
                <w:rFonts w:ascii="仿宋" w:eastAsia="仿宋" w:hAnsi="仿宋" w:cs="仿宋_GB2312" w:hint="eastAsia"/>
                <w:b/>
                <w:bCs/>
                <w:sz w:val="24"/>
              </w:rPr>
              <w:t>主要控制指标</w:t>
            </w:r>
          </w:p>
        </w:tc>
        <w:tc>
          <w:tcPr>
            <w:tcW w:w="2570" w:type="dxa"/>
            <w:vAlign w:val="center"/>
          </w:tcPr>
          <w:p w:rsidR="00D8367D" w:rsidRDefault="00DE3927">
            <w:pPr>
              <w:autoSpaceDE w:val="0"/>
              <w:autoSpaceDN w:val="0"/>
              <w:spacing w:line="360" w:lineRule="auto"/>
              <w:ind w:right="-96"/>
              <w:jc w:val="center"/>
              <w:rPr>
                <w:rFonts w:ascii="仿宋" w:eastAsia="仿宋" w:hAnsi="仿宋" w:cs="仿宋_GB2312"/>
                <w:b/>
                <w:bCs/>
                <w:sz w:val="24"/>
              </w:rPr>
            </w:pPr>
            <w:r>
              <w:rPr>
                <w:rFonts w:ascii="仿宋" w:eastAsia="仿宋" w:hAnsi="仿宋" w:cs="仿宋_GB2312" w:hint="eastAsia"/>
                <w:b/>
                <w:bCs/>
                <w:sz w:val="24"/>
              </w:rPr>
              <w:t>检验方法</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lastRenderedPageBreak/>
              <w:t>1</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坐标系</w:t>
            </w:r>
          </w:p>
        </w:tc>
        <w:tc>
          <w:tcPr>
            <w:tcW w:w="3194" w:type="dxa"/>
            <w:shd w:val="clear" w:color="auto" w:fill="auto"/>
            <w:vAlign w:val="center"/>
          </w:tcPr>
          <w:p w:rsidR="00D8367D" w:rsidRDefault="00DE3927">
            <w:pPr>
              <w:pStyle w:val="a4"/>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标准5.3条款</w:t>
            </w:r>
            <w:r>
              <w:rPr>
                <w:rFonts w:ascii="仿宋" w:eastAsia="仿宋" w:hAnsi="仿宋" w:cs="Arial"/>
                <w:sz w:val="24"/>
              </w:rPr>
              <w:t>内容</w:t>
            </w:r>
          </w:p>
        </w:tc>
        <w:tc>
          <w:tcPr>
            <w:tcW w:w="2570" w:type="dxa"/>
            <w:shd w:val="clear" w:color="auto" w:fill="auto"/>
            <w:vAlign w:val="center"/>
          </w:tcPr>
          <w:p w:rsidR="00D8367D" w:rsidRDefault="00DE3927">
            <w:pPr>
              <w:spacing w:line="360" w:lineRule="exact"/>
              <w:rPr>
                <w:rFonts w:ascii="仿宋" w:eastAsia="仿宋" w:hAnsi="仿宋" w:cs="Arial"/>
                <w:kern w:val="0"/>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bookmarkStart w:id="98" w:name="_Toc10067"/>
            <w:bookmarkStart w:id="99" w:name="_Toc4797"/>
            <w:bookmarkStart w:id="100" w:name="_Toc6674"/>
            <w:bookmarkStart w:id="101" w:name="_Toc19110"/>
            <w:bookmarkStart w:id="102" w:name="_Toc11867"/>
            <w:bookmarkStart w:id="103" w:name="_Toc1947"/>
            <w:bookmarkStart w:id="104" w:name="_Toc5902"/>
            <w:bookmarkStart w:id="105" w:name="_Toc18286"/>
            <w:bookmarkStart w:id="106" w:name="_Toc23726"/>
            <w:bookmarkStart w:id="107" w:name="_Toc28397"/>
            <w:bookmarkStart w:id="108" w:name="_Toc25783"/>
            <w:bookmarkStart w:id="109" w:name="_Toc5046"/>
            <w:bookmarkStart w:id="110" w:name="_Toc1307"/>
            <w:bookmarkStart w:id="111" w:name="_Toc21406"/>
            <w:r>
              <w:rPr>
                <w:rFonts w:ascii="仿宋" w:eastAsia="仿宋" w:hAnsi="仿宋" w:cs="仿宋_GB2312" w:hint="eastAsia"/>
                <w:sz w:val="24"/>
              </w:rPr>
              <w:t>2</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定位线激光宽度</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标准5.4条款</w:t>
            </w:r>
            <w:r>
              <w:rPr>
                <w:rFonts w:ascii="仿宋" w:eastAsia="仿宋" w:hAnsi="仿宋" w:cs="Arial"/>
                <w:sz w:val="24"/>
              </w:rPr>
              <w:t>内容</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3</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定位线的长度</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标准5.5条款</w:t>
            </w:r>
            <w:r>
              <w:rPr>
                <w:rFonts w:ascii="仿宋" w:eastAsia="仿宋" w:hAnsi="仿宋" w:cs="Arial"/>
                <w:sz w:val="24"/>
              </w:rPr>
              <w:t>内容</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4</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直线度</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标准5.6条款</w:t>
            </w:r>
            <w:r>
              <w:rPr>
                <w:rFonts w:ascii="仿宋" w:eastAsia="仿宋" w:hAnsi="仿宋" w:cs="Arial"/>
                <w:sz w:val="24"/>
              </w:rPr>
              <w:t>内容</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5</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垂直度</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标准5.7条款</w:t>
            </w:r>
            <w:r>
              <w:rPr>
                <w:rFonts w:ascii="仿宋" w:eastAsia="仿宋" w:hAnsi="仿宋" w:cs="Arial"/>
                <w:sz w:val="24"/>
              </w:rPr>
              <w:t>内容</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6</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定位准确性</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 w:eastAsia="仿宋" w:hAnsi="仿宋" w:cs="Arial"/>
                <w:sz w:val="24"/>
              </w:rPr>
              <w:t>YY/T</w:t>
            </w:r>
            <w:r>
              <w:rPr>
                <w:rFonts w:ascii="仿宋" w:eastAsia="仿宋" w:hAnsi="仿宋" w:cs="Arial" w:hint="eastAsia"/>
                <w:sz w:val="24"/>
              </w:rPr>
              <w:t xml:space="preserve"> 1537</w:t>
            </w:r>
            <w:r>
              <w:rPr>
                <w:rFonts w:ascii="仿宋" w:eastAsia="仿宋" w:hAnsi="仿宋" w:cs="Arial"/>
                <w:sz w:val="24"/>
              </w:rPr>
              <w:t>《</w:t>
            </w:r>
            <w:r>
              <w:rPr>
                <w:rFonts w:ascii="仿宋" w:eastAsia="仿宋" w:hAnsi="仿宋" w:cs="Arial" w:hint="eastAsia"/>
                <w:sz w:val="24"/>
              </w:rPr>
              <w:t>放射治疗用激光定位系统 性能和试验方法</w:t>
            </w:r>
            <w:r>
              <w:rPr>
                <w:rFonts w:ascii="仿宋" w:eastAsia="仿宋" w:hAnsi="仿宋" w:cs="Arial"/>
                <w:sz w:val="24"/>
              </w:rPr>
              <w:t>》</w:t>
            </w:r>
            <w:r>
              <w:rPr>
                <w:rFonts w:ascii="仿宋" w:eastAsia="仿宋" w:hAnsi="仿宋" w:cs="Arial" w:hint="eastAsia"/>
                <w:sz w:val="24"/>
              </w:rPr>
              <w:t>标准5.8条款</w:t>
            </w:r>
            <w:r>
              <w:rPr>
                <w:rFonts w:ascii="仿宋" w:eastAsia="仿宋" w:hAnsi="仿宋" w:cs="Arial"/>
                <w:sz w:val="24"/>
              </w:rPr>
              <w:t>内容</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 w:eastAsia="仿宋" w:hAnsi="仿宋" w:cs="仿宋_GB2312" w:hint="eastAsia"/>
                <w:color w:val="000000"/>
                <w:sz w:val="24"/>
              </w:rPr>
              <w:t>按照标准要求检验</w:t>
            </w:r>
          </w:p>
        </w:tc>
      </w:tr>
      <w:tr w:rsidR="00D8367D">
        <w:trPr>
          <w:jc w:val="center"/>
        </w:trPr>
        <w:tc>
          <w:tcPr>
            <w:tcW w:w="812"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7</w:t>
            </w:r>
          </w:p>
        </w:tc>
        <w:tc>
          <w:tcPr>
            <w:tcW w:w="1943" w:type="dxa"/>
            <w:vAlign w:val="center"/>
          </w:tcPr>
          <w:p w:rsidR="00D8367D" w:rsidRDefault="00DE3927">
            <w:pPr>
              <w:autoSpaceDE w:val="0"/>
              <w:autoSpaceDN w:val="0"/>
              <w:spacing w:line="360" w:lineRule="auto"/>
              <w:ind w:right="-96"/>
              <w:jc w:val="center"/>
              <w:rPr>
                <w:rFonts w:ascii="仿宋" w:eastAsia="仿宋" w:hAnsi="仿宋" w:cs="仿宋_GB2312"/>
                <w:sz w:val="24"/>
              </w:rPr>
            </w:pPr>
            <w:r>
              <w:rPr>
                <w:rFonts w:ascii="仿宋" w:eastAsia="仿宋" w:hAnsi="仿宋" w:cs="仿宋_GB2312" w:hint="eastAsia"/>
                <w:sz w:val="24"/>
              </w:rPr>
              <w:t>激光功率</w:t>
            </w:r>
          </w:p>
        </w:tc>
        <w:tc>
          <w:tcPr>
            <w:tcW w:w="3194" w:type="dxa"/>
            <w:vAlign w:val="center"/>
          </w:tcPr>
          <w:p w:rsidR="00D8367D" w:rsidRDefault="00DE3927">
            <w:pPr>
              <w:autoSpaceDE w:val="0"/>
              <w:autoSpaceDN w:val="0"/>
              <w:spacing w:line="360" w:lineRule="auto"/>
              <w:ind w:right="-96"/>
              <w:jc w:val="left"/>
              <w:rPr>
                <w:rFonts w:ascii="仿宋" w:eastAsia="仿宋" w:hAnsi="仿宋" w:cs="仿宋_GB2312"/>
                <w:sz w:val="24"/>
              </w:rPr>
            </w:pPr>
            <w:r>
              <w:rPr>
                <w:rFonts w:ascii="仿宋_GB2312" w:eastAsia="仿宋_GB2312" w:hAnsi="仿宋" w:cs="仿宋" w:hint="eastAsia"/>
                <w:sz w:val="24"/>
              </w:rPr>
              <w:t>技术文件中应提供激光功率</w:t>
            </w:r>
          </w:p>
        </w:tc>
        <w:tc>
          <w:tcPr>
            <w:tcW w:w="2570" w:type="dxa"/>
            <w:vAlign w:val="center"/>
          </w:tcPr>
          <w:p w:rsidR="00D8367D" w:rsidRDefault="00DE3927">
            <w:pPr>
              <w:autoSpaceDE w:val="0"/>
              <w:autoSpaceDN w:val="0"/>
              <w:spacing w:line="360" w:lineRule="auto"/>
              <w:ind w:right="-96"/>
              <w:rPr>
                <w:rFonts w:ascii="仿宋" w:eastAsia="仿宋" w:hAnsi="仿宋" w:cs="仿宋_GB2312"/>
                <w:sz w:val="24"/>
              </w:rPr>
            </w:pPr>
            <w:r>
              <w:rPr>
                <w:rFonts w:ascii="仿宋_GB2312" w:eastAsia="仿宋_GB2312" w:hAnsi="仿宋" w:cs="仿宋" w:hint="eastAsia"/>
                <w:sz w:val="24"/>
              </w:rPr>
              <w:t>按照企业制定的规程</w:t>
            </w:r>
          </w:p>
        </w:tc>
      </w:tr>
    </w:tbl>
    <w:p w:rsidR="00D8367D" w:rsidRDefault="00DE3927">
      <w:pPr>
        <w:spacing w:line="560" w:lineRule="exact"/>
        <w:outlineLvl w:val="1"/>
        <w:rPr>
          <w:rFonts w:ascii="仿宋_GB2312" w:eastAsia="仿宋_GB2312" w:hAnsi="Arial" w:cs="Arial"/>
          <w:kern w:val="0"/>
          <w:sz w:val="24"/>
          <w:lang w:val="zh-CN"/>
        </w:rPr>
      </w:pPr>
      <w:r>
        <w:rPr>
          <w:rFonts w:ascii="黑体" w:eastAsia="黑体" w:hAnsi="黑体" w:cs="黑体" w:hint="eastAsia"/>
          <w:sz w:val="32"/>
          <w:szCs w:val="32"/>
        </w:rPr>
        <w:t>三、生产工艺和质量关键控制点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D8367D" w:rsidRDefault="00DE3927">
      <w:pPr>
        <w:numPr>
          <w:ilvl w:val="0"/>
          <w:numId w:val="1"/>
        </w:numPr>
        <w:spacing w:line="360" w:lineRule="auto"/>
        <w:ind w:left="424" w:hanging="4"/>
        <w:outlineLvl w:val="2"/>
        <w:rPr>
          <w:rFonts w:ascii="楷体" w:eastAsia="楷体" w:hAnsi="楷体" w:cs="楷体"/>
          <w:sz w:val="32"/>
          <w:szCs w:val="32"/>
        </w:rPr>
      </w:pPr>
      <w:bookmarkStart w:id="112" w:name="_Toc3538"/>
      <w:bookmarkStart w:id="113" w:name="_Toc28679"/>
      <w:bookmarkStart w:id="114" w:name="_Toc5816"/>
      <w:bookmarkStart w:id="115" w:name="_Toc6659"/>
      <w:bookmarkStart w:id="116" w:name="_Toc16378"/>
      <w:bookmarkStart w:id="117" w:name="_Toc2125"/>
      <w:bookmarkStart w:id="118" w:name="_Toc26082"/>
      <w:bookmarkStart w:id="119" w:name="_Toc21615"/>
      <w:bookmarkStart w:id="120" w:name="_Toc4714"/>
      <w:bookmarkStart w:id="121" w:name="_Toc11021"/>
      <w:bookmarkStart w:id="122" w:name="_Toc21957"/>
      <w:bookmarkStart w:id="123" w:name="_Toc1058"/>
      <w:bookmarkStart w:id="124" w:name="_Toc12363"/>
      <w:bookmarkStart w:id="125" w:name="_Toc7409"/>
      <w:r>
        <w:rPr>
          <w:rFonts w:ascii="楷体" w:eastAsia="楷体" w:hAnsi="楷体" w:cs="楷体" w:hint="eastAsia"/>
          <w:sz w:val="32"/>
          <w:szCs w:val="32"/>
        </w:rPr>
        <w:t>生产工艺流程图</w:t>
      </w:r>
    </w:p>
    <w:p w:rsidR="00D8367D" w:rsidRDefault="00DE3927">
      <w:pPr>
        <w:ind w:firstLineChars="200" w:firstLine="640"/>
        <w:jc w:val="center"/>
        <w:rPr>
          <w:rFonts w:ascii="楷体" w:eastAsia="楷体" w:hAnsi="楷体" w:cs="楷体"/>
          <w:sz w:val="32"/>
          <w:szCs w:val="32"/>
        </w:rPr>
      </w:pPr>
      <w:r>
        <w:rPr>
          <w:rFonts w:ascii="楷体" w:eastAsia="楷体" w:hAnsi="楷体" w:cs="楷体" w:hint="eastAsia"/>
          <w:sz w:val="32"/>
          <w:szCs w:val="32"/>
        </w:rPr>
        <w:object w:dxaOrig="1741" w:dyaOrig="5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253.35pt" o:ole="">
            <v:imagedata r:id="rId7" o:title=""/>
            <o:lock v:ext="edit" aspectratio="f"/>
          </v:shape>
          <o:OLEObject Type="Embed" ProgID="Visio.Drawing.11" ShapeID="_x0000_i1025" DrawAspect="Content" ObjectID="_1796836631" r:id="rId8"/>
        </w:object>
      </w:r>
    </w:p>
    <w:p w:rsidR="00D8367D" w:rsidRDefault="00DE3927">
      <w:pPr>
        <w:numPr>
          <w:ilvl w:val="0"/>
          <w:numId w:val="1"/>
        </w:numPr>
        <w:spacing w:line="360" w:lineRule="auto"/>
        <w:ind w:left="424" w:hanging="4"/>
        <w:outlineLvl w:val="2"/>
        <w:rPr>
          <w:rFonts w:ascii="楷体" w:eastAsia="楷体" w:hAnsi="楷体" w:cs="楷体"/>
          <w:sz w:val="32"/>
          <w:szCs w:val="32"/>
        </w:rPr>
      </w:pPr>
      <w:r>
        <w:rPr>
          <w:rFonts w:ascii="楷体" w:eastAsia="楷体" w:hAnsi="楷体" w:cs="楷体" w:hint="eastAsia"/>
          <w:sz w:val="32"/>
          <w:szCs w:val="32"/>
        </w:rPr>
        <w:t>生产环节风险点</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D8367D" w:rsidRDefault="00DE3927">
      <w:pPr>
        <w:spacing w:line="560" w:lineRule="exact"/>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激光定位系统生产环节风险点主要包括激光灯支架安装和光源调试等。</w:t>
      </w:r>
    </w:p>
    <w:p w:rsidR="00D8367D" w:rsidRDefault="00DE3927">
      <w:pPr>
        <w:numPr>
          <w:ilvl w:val="0"/>
          <w:numId w:val="1"/>
        </w:numPr>
        <w:spacing w:line="360" w:lineRule="auto"/>
        <w:ind w:left="424" w:hanging="4"/>
        <w:outlineLvl w:val="2"/>
        <w:rPr>
          <w:rFonts w:ascii="楷体" w:eastAsia="楷体" w:hAnsi="楷体" w:cs="楷体"/>
          <w:sz w:val="32"/>
          <w:szCs w:val="32"/>
        </w:rPr>
      </w:pPr>
      <w:bookmarkStart w:id="126" w:name="_Toc32498"/>
      <w:bookmarkStart w:id="127" w:name="_Toc12358"/>
      <w:bookmarkStart w:id="128" w:name="_Toc18446"/>
      <w:bookmarkStart w:id="129" w:name="_Toc26490"/>
      <w:bookmarkStart w:id="130" w:name="_Toc17720"/>
      <w:bookmarkStart w:id="131" w:name="_Toc25507"/>
      <w:bookmarkStart w:id="132" w:name="_Toc17294"/>
      <w:bookmarkStart w:id="133" w:name="_Toc14621"/>
      <w:bookmarkStart w:id="134" w:name="_Toc17658"/>
      <w:bookmarkStart w:id="135" w:name="_Toc22438"/>
      <w:bookmarkStart w:id="136" w:name="_Toc88"/>
      <w:bookmarkStart w:id="137" w:name="_Toc5554"/>
      <w:bookmarkStart w:id="138" w:name="_Toc7037"/>
      <w:bookmarkStart w:id="139" w:name="_Toc6227"/>
      <w:r>
        <w:rPr>
          <w:rFonts w:ascii="楷体" w:eastAsia="楷体" w:hAnsi="楷体" w:cs="楷体" w:hint="eastAsia"/>
          <w:sz w:val="32"/>
          <w:szCs w:val="32"/>
        </w:rPr>
        <w:t>生产质量管理关键控制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楷体" w:eastAsia="楷体" w:hAnsi="楷体" w:cs="楷体" w:hint="eastAsia"/>
          <w:sz w:val="32"/>
          <w:szCs w:val="32"/>
        </w:rPr>
        <w:t>措施</w:t>
      </w:r>
    </w:p>
    <w:tbl>
      <w:tblPr>
        <w:tblStyle w:val="a5"/>
        <w:tblW w:w="0" w:type="auto"/>
        <w:tblInd w:w="0" w:type="dxa"/>
        <w:tblCellMar>
          <w:left w:w="108" w:type="dxa"/>
          <w:right w:w="108" w:type="dxa"/>
        </w:tblCellMar>
        <w:tblLook w:val="04A0" w:firstRow="1" w:lastRow="0" w:firstColumn="1" w:lastColumn="0" w:noHBand="0" w:noVBand="1"/>
      </w:tblPr>
      <w:tblGrid>
        <w:gridCol w:w="1074"/>
        <w:gridCol w:w="1252"/>
        <w:gridCol w:w="5970"/>
      </w:tblGrid>
      <w:tr w:rsidR="00D8367D">
        <w:trPr>
          <w:trHeight w:val="453"/>
          <w:tblHeader/>
        </w:trPr>
        <w:tc>
          <w:tcPr>
            <w:tcW w:w="1074" w:type="dxa"/>
          </w:tcPr>
          <w:p w:rsidR="00D8367D" w:rsidRDefault="00DE3927">
            <w:pPr>
              <w:autoSpaceDE w:val="0"/>
              <w:autoSpaceDN w:val="0"/>
              <w:spacing w:line="360" w:lineRule="auto"/>
              <w:ind w:right="62"/>
              <w:jc w:val="center"/>
              <w:rPr>
                <w:rFonts w:ascii="仿宋" w:eastAsia="仿宋" w:hAnsi="仿宋" w:cs="仿宋_GB2312"/>
                <w:b/>
                <w:bCs/>
                <w:sz w:val="24"/>
              </w:rPr>
            </w:pPr>
            <w:r>
              <w:rPr>
                <w:rFonts w:ascii="仿宋" w:eastAsia="仿宋" w:hAnsi="仿宋" w:cs="仿宋_GB2312" w:hint="eastAsia"/>
                <w:b/>
                <w:bCs/>
                <w:sz w:val="24"/>
              </w:rPr>
              <w:t>序号</w:t>
            </w:r>
          </w:p>
        </w:tc>
        <w:tc>
          <w:tcPr>
            <w:tcW w:w="1252" w:type="dxa"/>
          </w:tcPr>
          <w:p w:rsidR="00D8367D" w:rsidRDefault="00DE3927">
            <w:pPr>
              <w:autoSpaceDE w:val="0"/>
              <w:autoSpaceDN w:val="0"/>
              <w:spacing w:line="360" w:lineRule="auto"/>
              <w:ind w:right="62"/>
              <w:jc w:val="center"/>
              <w:rPr>
                <w:rFonts w:ascii="仿宋" w:eastAsia="仿宋" w:hAnsi="仿宋" w:cs="仿宋_GB2312"/>
                <w:b/>
                <w:bCs/>
                <w:sz w:val="24"/>
              </w:rPr>
            </w:pPr>
            <w:r>
              <w:rPr>
                <w:rFonts w:ascii="仿宋" w:eastAsia="仿宋" w:hAnsi="仿宋" w:cs="仿宋_GB2312" w:hint="eastAsia"/>
                <w:b/>
                <w:bCs/>
                <w:sz w:val="24"/>
              </w:rPr>
              <w:t>风险点</w:t>
            </w:r>
          </w:p>
        </w:tc>
        <w:tc>
          <w:tcPr>
            <w:tcW w:w="5970" w:type="dxa"/>
          </w:tcPr>
          <w:p w:rsidR="00D8367D" w:rsidRDefault="00DE3927">
            <w:pPr>
              <w:autoSpaceDE w:val="0"/>
              <w:autoSpaceDN w:val="0"/>
              <w:spacing w:line="360" w:lineRule="auto"/>
              <w:ind w:right="62"/>
              <w:jc w:val="center"/>
              <w:rPr>
                <w:rFonts w:ascii="仿宋" w:eastAsia="仿宋" w:hAnsi="仿宋" w:cs="仿宋_GB2312"/>
                <w:b/>
                <w:bCs/>
                <w:sz w:val="24"/>
              </w:rPr>
            </w:pPr>
            <w:r>
              <w:rPr>
                <w:rFonts w:ascii="仿宋" w:eastAsia="仿宋" w:hAnsi="仿宋" w:cs="仿宋_GB2312" w:hint="eastAsia"/>
                <w:b/>
                <w:bCs/>
                <w:sz w:val="24"/>
              </w:rPr>
              <w:t>控制措施</w:t>
            </w:r>
          </w:p>
        </w:tc>
      </w:tr>
      <w:tr w:rsidR="00D8367D">
        <w:trPr>
          <w:trHeight w:val="90"/>
        </w:trPr>
        <w:tc>
          <w:tcPr>
            <w:tcW w:w="1074" w:type="dxa"/>
            <w:vAlign w:val="center"/>
          </w:tcPr>
          <w:p w:rsidR="00D8367D" w:rsidRDefault="00DE3927">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t>1</w:t>
            </w:r>
          </w:p>
        </w:tc>
        <w:tc>
          <w:tcPr>
            <w:tcW w:w="1252" w:type="dxa"/>
            <w:tcBorders>
              <w:top w:val="single" w:sz="4" w:space="0" w:color="auto"/>
              <w:left w:val="single" w:sz="4" w:space="0" w:color="auto"/>
              <w:bottom w:val="single" w:sz="4" w:space="0" w:color="auto"/>
              <w:right w:val="single" w:sz="4" w:space="0" w:color="auto"/>
            </w:tcBorders>
            <w:vAlign w:val="center"/>
          </w:tcPr>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宋体" w:hint="eastAsia"/>
                <w:sz w:val="24"/>
              </w:rPr>
              <w:t>生产管理</w:t>
            </w:r>
          </w:p>
        </w:tc>
        <w:tc>
          <w:tcPr>
            <w:tcW w:w="5970" w:type="dxa"/>
            <w:tcBorders>
              <w:top w:val="single" w:sz="4" w:space="0" w:color="auto"/>
              <w:left w:val="single" w:sz="4" w:space="0" w:color="auto"/>
              <w:bottom w:val="single" w:sz="4" w:space="0" w:color="auto"/>
              <w:right w:val="single" w:sz="4" w:space="0" w:color="auto"/>
            </w:tcBorders>
            <w:vAlign w:val="center"/>
          </w:tcPr>
          <w:p w:rsidR="00D8367D" w:rsidRDefault="00DE3927">
            <w:pPr>
              <w:tabs>
                <w:tab w:val="left" w:pos="210"/>
              </w:tabs>
              <w:autoSpaceDE w:val="0"/>
              <w:autoSpaceDN w:val="0"/>
              <w:spacing w:line="360" w:lineRule="auto"/>
              <w:ind w:right="62"/>
              <w:rPr>
                <w:rFonts w:ascii="仿宋" w:eastAsia="仿宋" w:hAnsi="仿宋" w:cs="Calibri"/>
                <w:sz w:val="24"/>
              </w:rPr>
            </w:pPr>
            <w:r>
              <w:rPr>
                <w:rFonts w:ascii="仿宋" w:eastAsia="仿宋" w:hAnsi="仿宋" w:cs="仿宋" w:hint="eastAsia"/>
                <w:sz w:val="24"/>
              </w:rPr>
              <w:t>①</w:t>
            </w:r>
            <w:r>
              <w:rPr>
                <w:rFonts w:ascii="仿宋" w:eastAsia="仿宋" w:hAnsi="仿宋" w:cs="仿宋_GB2312" w:hint="eastAsia"/>
                <w:sz w:val="24"/>
              </w:rPr>
              <w:t>企业应制定生产相关作业文件；</w:t>
            </w:r>
          </w:p>
          <w:p w:rsidR="00D8367D" w:rsidRDefault="00DE3927">
            <w:pPr>
              <w:tabs>
                <w:tab w:val="left" w:pos="210"/>
              </w:tabs>
              <w:autoSpaceDE w:val="0"/>
              <w:autoSpaceDN w:val="0"/>
              <w:spacing w:line="360" w:lineRule="auto"/>
              <w:ind w:right="62"/>
              <w:rPr>
                <w:rFonts w:ascii="仿宋" w:eastAsia="仿宋" w:hAnsi="仿宋" w:cs="仿宋_GB2312"/>
                <w:sz w:val="24"/>
              </w:rPr>
            </w:pPr>
            <w:r>
              <w:rPr>
                <w:rFonts w:ascii="仿宋" w:eastAsia="仿宋" w:hAnsi="仿宋" w:cs="仿宋" w:hint="eastAsia"/>
                <w:sz w:val="24"/>
              </w:rPr>
              <w:t>②</w:t>
            </w:r>
            <w:r>
              <w:rPr>
                <w:rFonts w:ascii="仿宋" w:eastAsia="仿宋" w:hAnsi="仿宋" w:cs="Calibri" w:hint="eastAsia"/>
                <w:sz w:val="24"/>
              </w:rPr>
              <w:t>企业应对识别的关键工序和特殊过程进行验证或确认；</w:t>
            </w:r>
          </w:p>
          <w:p w:rsidR="00D8367D" w:rsidRDefault="00DE3927">
            <w:pPr>
              <w:tabs>
                <w:tab w:val="left" w:pos="210"/>
              </w:tabs>
              <w:autoSpaceDE w:val="0"/>
              <w:autoSpaceDN w:val="0"/>
              <w:spacing w:line="360" w:lineRule="auto"/>
              <w:ind w:right="62"/>
              <w:rPr>
                <w:rFonts w:ascii="仿宋" w:eastAsia="仿宋" w:hAnsi="仿宋" w:cs="仿宋_GB2312"/>
                <w:sz w:val="24"/>
              </w:rPr>
            </w:pPr>
            <w:r>
              <w:rPr>
                <w:rFonts w:ascii="仿宋" w:eastAsia="仿宋" w:hAnsi="仿宋" w:cs="仿宋" w:hint="eastAsia"/>
                <w:sz w:val="24"/>
              </w:rPr>
              <w:t>③</w:t>
            </w:r>
            <w:r>
              <w:rPr>
                <w:rFonts w:ascii="仿宋" w:eastAsia="仿宋" w:hAnsi="仿宋" w:cs="Calibri" w:hint="eastAsia"/>
                <w:sz w:val="24"/>
              </w:rPr>
              <w:t>企业应按照制定的作业文件对激光定位系统，进行安装、调试。</w:t>
            </w:r>
          </w:p>
        </w:tc>
      </w:tr>
      <w:tr w:rsidR="00D8367D">
        <w:trPr>
          <w:trHeight w:val="1751"/>
        </w:trPr>
        <w:tc>
          <w:tcPr>
            <w:tcW w:w="1074" w:type="dxa"/>
            <w:vAlign w:val="center"/>
          </w:tcPr>
          <w:p w:rsidR="00D8367D" w:rsidRDefault="00DE3927">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t>3</w:t>
            </w:r>
          </w:p>
        </w:tc>
        <w:tc>
          <w:tcPr>
            <w:tcW w:w="1252" w:type="dxa"/>
            <w:vAlign w:val="center"/>
          </w:tcPr>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安装</w:t>
            </w:r>
          </w:p>
        </w:tc>
        <w:tc>
          <w:tcPr>
            <w:tcW w:w="5970" w:type="dxa"/>
          </w:tcPr>
          <w:p w:rsidR="00D8367D" w:rsidRDefault="00DE3927">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激光灯支架安装</w:t>
            </w:r>
          </w:p>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安装位置牢固、准确。</w:t>
            </w:r>
          </w:p>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如果激光灯支架固定不牢固，可能会导致激光线使用过程中产生漂移。</w:t>
            </w:r>
          </w:p>
        </w:tc>
      </w:tr>
      <w:tr w:rsidR="00D8367D">
        <w:trPr>
          <w:trHeight w:val="90"/>
        </w:trPr>
        <w:tc>
          <w:tcPr>
            <w:tcW w:w="1074" w:type="dxa"/>
            <w:vAlign w:val="center"/>
          </w:tcPr>
          <w:p w:rsidR="00D8367D" w:rsidRDefault="00DE3927">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t>4</w:t>
            </w:r>
          </w:p>
        </w:tc>
        <w:tc>
          <w:tcPr>
            <w:tcW w:w="1252" w:type="dxa"/>
            <w:vAlign w:val="center"/>
          </w:tcPr>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调试</w:t>
            </w:r>
          </w:p>
        </w:tc>
        <w:tc>
          <w:tcPr>
            <w:tcW w:w="5970" w:type="dxa"/>
          </w:tcPr>
          <w:p w:rsidR="00D8367D" w:rsidRDefault="00DE3927">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激光光源调试</w:t>
            </w:r>
          </w:p>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坐标系、波长、宽度等符合技术要求。</w:t>
            </w:r>
          </w:p>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如果激光灯性能不达标，可能会导致病人初摆位的参考</w:t>
            </w:r>
            <w:r>
              <w:rPr>
                <w:rFonts w:ascii="仿宋" w:eastAsia="仿宋" w:hAnsi="仿宋" w:cs="仿宋_GB2312" w:hint="eastAsia"/>
                <w:sz w:val="24"/>
              </w:rPr>
              <w:lastRenderedPageBreak/>
              <w:t>位置超出技术指标要求。</w:t>
            </w:r>
          </w:p>
        </w:tc>
      </w:tr>
      <w:tr w:rsidR="00D8367D">
        <w:trPr>
          <w:trHeight w:val="90"/>
        </w:trPr>
        <w:tc>
          <w:tcPr>
            <w:tcW w:w="1074" w:type="dxa"/>
            <w:vAlign w:val="center"/>
          </w:tcPr>
          <w:p w:rsidR="00D8367D" w:rsidRDefault="00DE3927">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lastRenderedPageBreak/>
              <w:t>5</w:t>
            </w:r>
          </w:p>
        </w:tc>
        <w:tc>
          <w:tcPr>
            <w:tcW w:w="1252" w:type="dxa"/>
            <w:vAlign w:val="center"/>
          </w:tcPr>
          <w:p w:rsidR="00D8367D" w:rsidRDefault="00DE3927">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质量控制</w:t>
            </w:r>
          </w:p>
        </w:tc>
        <w:tc>
          <w:tcPr>
            <w:tcW w:w="5970" w:type="dxa"/>
            <w:vAlign w:val="center"/>
          </w:tcPr>
          <w:p w:rsidR="00D8367D" w:rsidRDefault="00DE392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D8367D" w:rsidRDefault="00DE392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D8367D" w:rsidRDefault="00DE392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③企业应形成性能检验规程等相关检验作业文件；</w:t>
            </w:r>
          </w:p>
          <w:p w:rsidR="00D8367D" w:rsidRDefault="00DE392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④企业进行常规控制的来料检验、过程检验，原则上不得进行委托检验。对于检验条件和设备要求较高，可委托具有资质的机构进行检验，以证明产品符合强制性标准和经注册或者备案的产品技术要求；</w:t>
            </w:r>
          </w:p>
          <w:p w:rsidR="00D8367D" w:rsidRDefault="00DE3927">
            <w:pPr>
              <w:tabs>
                <w:tab w:val="left" w:pos="210"/>
              </w:tabs>
              <w:autoSpaceDE w:val="0"/>
              <w:autoSpaceDN w:val="0"/>
              <w:spacing w:line="360" w:lineRule="auto"/>
              <w:ind w:right="62"/>
              <w:rPr>
                <w:rFonts w:ascii="仿宋" w:eastAsia="仿宋" w:hAnsi="仿宋" w:cs="仿宋_GB2312"/>
                <w:sz w:val="24"/>
              </w:rPr>
            </w:pPr>
            <w:r>
              <w:rPr>
                <w:rFonts w:ascii="仿宋" w:eastAsia="仿宋" w:hAnsi="仿宋" w:cs="仿宋" w:hint="eastAsia"/>
                <w:sz w:val="24"/>
              </w:rPr>
              <w:t>⑤企业在安装调试检验中不同部件、设备、系统之间安装和调试应满足企业的规定。</w:t>
            </w:r>
          </w:p>
        </w:tc>
      </w:tr>
    </w:tbl>
    <w:p w:rsidR="00D8367D" w:rsidRDefault="00DE3927">
      <w:pPr>
        <w:spacing w:line="560" w:lineRule="exact"/>
        <w:outlineLvl w:val="1"/>
        <w:rPr>
          <w:rFonts w:ascii="黑体" w:eastAsia="黑体" w:hAnsi="黑体" w:cs="黑体"/>
          <w:sz w:val="32"/>
          <w:szCs w:val="32"/>
        </w:rPr>
      </w:pPr>
      <w:bookmarkStart w:id="140" w:name="_Toc16173"/>
      <w:bookmarkStart w:id="141" w:name="_Toc24520"/>
      <w:bookmarkStart w:id="142" w:name="_Toc25188"/>
      <w:bookmarkStart w:id="143" w:name="_Toc18145"/>
      <w:bookmarkStart w:id="144" w:name="_Toc4757"/>
      <w:bookmarkStart w:id="145" w:name="_Toc15681"/>
      <w:bookmarkStart w:id="146" w:name="_Toc11758"/>
      <w:bookmarkStart w:id="147" w:name="_Toc3397"/>
      <w:bookmarkStart w:id="148" w:name="_Toc6794"/>
      <w:bookmarkStart w:id="149" w:name="_Toc29014"/>
      <w:bookmarkStart w:id="150" w:name="_Toc11762"/>
      <w:bookmarkStart w:id="151" w:name="_Toc27248"/>
      <w:bookmarkStart w:id="152" w:name="_Toc31085"/>
      <w:bookmarkStart w:id="153" w:name="_Toc6995"/>
      <w:r>
        <w:rPr>
          <w:rFonts w:ascii="黑体" w:eastAsia="黑体" w:hAnsi="黑体" w:cs="黑体" w:hint="eastAsia"/>
          <w:sz w:val="32"/>
          <w:szCs w:val="32"/>
        </w:rPr>
        <w:t>四、检查要点</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D8367D" w:rsidRDefault="00DE3927">
      <w:pPr>
        <w:spacing w:line="360" w:lineRule="auto"/>
        <w:ind w:firstLineChars="131" w:firstLine="419"/>
        <w:outlineLvl w:val="2"/>
        <w:rPr>
          <w:rFonts w:ascii="楷体" w:eastAsia="楷体" w:hAnsi="楷体" w:cs="宋体"/>
          <w:sz w:val="32"/>
          <w:szCs w:val="32"/>
        </w:rPr>
      </w:pPr>
      <w:bookmarkStart w:id="154" w:name="_Toc5063"/>
      <w:bookmarkStart w:id="155" w:name="_Toc6862"/>
      <w:bookmarkStart w:id="156" w:name="_Toc14784"/>
      <w:bookmarkStart w:id="157" w:name="_Toc28947"/>
      <w:bookmarkStart w:id="158" w:name="_Toc16780"/>
      <w:bookmarkStart w:id="159" w:name="_Toc21432"/>
      <w:bookmarkStart w:id="160" w:name="_Toc32746"/>
      <w:bookmarkStart w:id="161" w:name="_Toc6581"/>
      <w:bookmarkStart w:id="162" w:name="_Toc29504"/>
      <w:bookmarkStart w:id="163" w:name="_Toc24745"/>
      <w:bookmarkStart w:id="164" w:name="_Toc18452"/>
      <w:bookmarkStart w:id="165" w:name="_Toc31075"/>
      <w:bookmarkStart w:id="166" w:name="_Toc1567"/>
      <w:bookmarkStart w:id="167" w:name="_Toc14221"/>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楷体" w:eastAsia="楷体" w:hAnsi="楷体" w:cs="宋体" w:hint="eastAsia"/>
          <w:sz w:val="32"/>
          <w:szCs w:val="32"/>
        </w:rPr>
        <w:t>（一）机构与人员</w:t>
      </w:r>
      <w:bookmarkEnd w:id="167"/>
    </w:p>
    <w:p w:rsidR="00D8367D" w:rsidRDefault="00DE3927">
      <w:pPr>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企业对从事影响产品质量的工作人员，特别是从事关键工序和特殊过程的安装人员、检验人员、检测和运行维护人员等，应当经过与其岗位要求相适应的培训，具有相关理论知识和实际操作技能。</w:t>
      </w:r>
    </w:p>
    <w:p w:rsidR="00D8367D" w:rsidRDefault="00DE3927">
      <w:pPr>
        <w:pStyle w:val="a6"/>
        <w:numPr>
          <w:ilvl w:val="0"/>
          <w:numId w:val="2"/>
        </w:numPr>
        <w:spacing w:line="360" w:lineRule="auto"/>
        <w:ind w:firstLineChars="0"/>
        <w:rPr>
          <w:rFonts w:ascii="仿宋" w:eastAsia="仿宋" w:hAnsi="仿宋" w:cs="宋体"/>
          <w:bCs/>
          <w:sz w:val="32"/>
          <w:szCs w:val="32"/>
        </w:rPr>
      </w:pPr>
      <w:r>
        <w:rPr>
          <w:rFonts w:ascii="仿宋" w:eastAsia="仿宋" w:hAnsi="仿宋" w:cs="宋体" w:hint="eastAsia"/>
          <w:bCs/>
          <w:sz w:val="32"/>
          <w:szCs w:val="32"/>
        </w:rPr>
        <w:t>人员能力方面</w:t>
      </w:r>
    </w:p>
    <w:p w:rsidR="00D8367D" w:rsidRDefault="00DE3927">
      <w:pPr>
        <w:pStyle w:val="a6"/>
        <w:numPr>
          <w:ilvl w:val="0"/>
          <w:numId w:val="3"/>
        </w:numPr>
        <w:tabs>
          <w:tab w:val="left" w:pos="1050"/>
        </w:tabs>
        <w:spacing w:line="360" w:lineRule="auto"/>
        <w:ind w:left="0" w:firstLineChars="0" w:firstLine="640"/>
        <w:rPr>
          <w:rFonts w:ascii="仿宋" w:eastAsia="仿宋" w:hAnsi="仿宋" w:cs="宋体"/>
          <w:bCs/>
          <w:sz w:val="32"/>
          <w:szCs w:val="32"/>
        </w:rPr>
      </w:pPr>
      <w:r>
        <w:rPr>
          <w:rFonts w:ascii="仿宋" w:eastAsia="仿宋" w:hAnsi="仿宋" w:cs="宋体" w:hint="eastAsia"/>
          <w:bCs/>
          <w:sz w:val="32"/>
          <w:szCs w:val="32"/>
        </w:rPr>
        <w:t>安装人员：</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①激光定位系统的安装人员资质和培训记录应符合岗位任职要求。</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②企业准直人员的资质和培训记录应符合岗位任职要求，应能够按设计要求建立准直控制网并进行复验。</w:t>
      </w:r>
    </w:p>
    <w:p w:rsidR="00D8367D" w:rsidRDefault="00DE3927">
      <w:pPr>
        <w:pStyle w:val="a6"/>
        <w:numPr>
          <w:ilvl w:val="0"/>
          <w:numId w:val="3"/>
        </w:numPr>
        <w:tabs>
          <w:tab w:val="left" w:pos="1050"/>
        </w:tabs>
        <w:spacing w:line="360" w:lineRule="auto"/>
        <w:ind w:left="0" w:firstLineChars="0" w:firstLine="640"/>
        <w:rPr>
          <w:rFonts w:ascii="仿宋" w:eastAsia="仿宋" w:hAnsi="仿宋" w:cs="宋体"/>
          <w:bCs/>
          <w:sz w:val="32"/>
          <w:szCs w:val="32"/>
        </w:rPr>
      </w:pPr>
      <w:r>
        <w:rPr>
          <w:rFonts w:ascii="仿宋" w:eastAsia="仿宋" w:hAnsi="仿宋" w:cs="宋体" w:hint="eastAsia"/>
          <w:bCs/>
          <w:sz w:val="32"/>
          <w:szCs w:val="32"/>
        </w:rPr>
        <w:lastRenderedPageBreak/>
        <w:t>检验人员：</w:t>
      </w:r>
    </w:p>
    <w:p w:rsidR="00D8367D" w:rsidRDefault="00DE3927">
      <w:pPr>
        <w:pStyle w:val="a6"/>
        <w:tabs>
          <w:tab w:val="left" w:pos="1050"/>
        </w:tabs>
        <w:spacing w:line="360" w:lineRule="auto"/>
        <w:ind w:firstLine="640"/>
        <w:rPr>
          <w:rFonts w:ascii="仿宋" w:eastAsia="仿宋" w:hAnsi="仿宋" w:cs="宋体"/>
          <w:bCs/>
          <w:sz w:val="32"/>
          <w:szCs w:val="32"/>
        </w:rPr>
      </w:pPr>
      <w:r>
        <w:rPr>
          <w:rFonts w:ascii="仿宋" w:eastAsia="仿宋" w:hAnsi="仿宋" w:cs="宋体" w:hint="eastAsia"/>
          <w:bCs/>
          <w:sz w:val="32"/>
          <w:szCs w:val="32"/>
        </w:rPr>
        <w:t>企业从事检验的人员岗位职责应覆盖激光定位系统来料、过程检验，应熟悉相关检验标准，为专职人员。</w:t>
      </w:r>
    </w:p>
    <w:p w:rsidR="00D8367D" w:rsidRDefault="00DE3927">
      <w:pPr>
        <w:pStyle w:val="a6"/>
        <w:numPr>
          <w:ilvl w:val="0"/>
          <w:numId w:val="3"/>
        </w:numPr>
        <w:tabs>
          <w:tab w:val="left" w:pos="1050"/>
        </w:tabs>
        <w:spacing w:line="360" w:lineRule="auto"/>
        <w:ind w:left="0" w:firstLineChars="0" w:firstLine="640"/>
        <w:rPr>
          <w:rFonts w:ascii="仿宋" w:eastAsia="仿宋" w:hAnsi="仿宋" w:cs="宋体"/>
          <w:bCs/>
          <w:sz w:val="32"/>
          <w:szCs w:val="32"/>
        </w:rPr>
      </w:pPr>
      <w:r>
        <w:rPr>
          <w:rFonts w:ascii="仿宋" w:eastAsia="仿宋" w:hAnsi="仿宋" w:cs="宋体" w:hint="eastAsia"/>
          <w:bCs/>
          <w:sz w:val="32"/>
          <w:szCs w:val="32"/>
        </w:rPr>
        <w:t>检测人员：</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①企业应配备电气安全等专职检验人员。</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②企业从事检测、出具报告、审核和批准检测结果的人员应具备相应专业的检测基础理论和专业知识，熟悉医疗器械相关法律法规、标准、技术要求、检测方法及仪器操作方法。</w:t>
      </w:r>
    </w:p>
    <w:p w:rsidR="00D8367D" w:rsidRDefault="00DE3927">
      <w:pPr>
        <w:pStyle w:val="a6"/>
        <w:numPr>
          <w:ilvl w:val="0"/>
          <w:numId w:val="3"/>
        </w:numPr>
        <w:tabs>
          <w:tab w:val="left" w:pos="1050"/>
        </w:tabs>
        <w:spacing w:line="360" w:lineRule="auto"/>
        <w:ind w:left="0" w:firstLineChars="0" w:firstLine="640"/>
        <w:rPr>
          <w:rFonts w:ascii="仿宋" w:eastAsia="仿宋" w:hAnsi="仿宋" w:cs="宋体"/>
          <w:bCs/>
          <w:sz w:val="32"/>
          <w:szCs w:val="32"/>
        </w:rPr>
      </w:pPr>
      <w:r>
        <w:rPr>
          <w:rFonts w:ascii="仿宋" w:eastAsia="仿宋" w:hAnsi="仿宋" w:cs="宋体" w:hint="eastAsia"/>
          <w:bCs/>
          <w:sz w:val="32"/>
          <w:szCs w:val="32"/>
        </w:rPr>
        <w:t>调试、运维人员：</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①企业从事调试或运维人员应具备激光定位系统调试的能力。</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②应具备故障诊断及检修的能力。</w:t>
      </w:r>
    </w:p>
    <w:p w:rsidR="00D8367D" w:rsidRDefault="00DE3927">
      <w:pPr>
        <w:pStyle w:val="a6"/>
        <w:spacing w:line="360" w:lineRule="auto"/>
        <w:ind w:firstLine="640"/>
        <w:rPr>
          <w:rFonts w:ascii="仿宋" w:eastAsia="仿宋" w:hAnsi="仿宋" w:cs="宋体"/>
          <w:bCs/>
          <w:sz w:val="32"/>
          <w:szCs w:val="32"/>
        </w:rPr>
      </w:pPr>
      <w:r>
        <w:rPr>
          <w:rFonts w:ascii="仿宋" w:eastAsia="仿宋" w:hAnsi="仿宋" w:cs="宋体" w:hint="eastAsia"/>
          <w:bCs/>
          <w:sz w:val="32"/>
          <w:szCs w:val="32"/>
        </w:rPr>
        <w:t>③应具备突发故障应急处置的能力。</w:t>
      </w:r>
    </w:p>
    <w:p w:rsidR="00D8367D" w:rsidRDefault="00DE3927">
      <w:pPr>
        <w:pStyle w:val="a6"/>
        <w:numPr>
          <w:ilvl w:val="0"/>
          <w:numId w:val="2"/>
        </w:numPr>
        <w:spacing w:line="360" w:lineRule="auto"/>
        <w:ind w:left="0" w:firstLineChars="0" w:firstLine="420"/>
        <w:rPr>
          <w:rFonts w:ascii="仿宋" w:eastAsia="仿宋" w:hAnsi="仿宋" w:cs="宋体"/>
          <w:bCs/>
          <w:sz w:val="32"/>
          <w:szCs w:val="32"/>
        </w:rPr>
      </w:pPr>
      <w:r>
        <w:rPr>
          <w:rFonts w:ascii="仿宋" w:eastAsia="仿宋" w:hAnsi="仿宋" w:cs="宋体" w:hint="eastAsia"/>
          <w:bCs/>
          <w:sz w:val="32"/>
          <w:szCs w:val="32"/>
        </w:rPr>
        <w:t>人员培训：企业应对从事激光定位系统的安装、调试、检验、检测及运行维护等岗位人员制定培训制度。培训内容应包括相关法律法规、基础理论知识、专业操作技能、过程质量控制及质量检验、激光定位系统的安装操作规程、检验操作规程及维护操作规程等。</w:t>
      </w:r>
    </w:p>
    <w:p w:rsidR="00D8367D" w:rsidRDefault="00DE3927">
      <w:pPr>
        <w:spacing w:line="360" w:lineRule="auto"/>
        <w:ind w:firstLineChars="131" w:firstLine="419"/>
        <w:outlineLvl w:val="2"/>
        <w:rPr>
          <w:rFonts w:ascii="楷体" w:eastAsia="楷体" w:hAnsi="楷体" w:cs="宋体"/>
          <w:sz w:val="32"/>
          <w:szCs w:val="32"/>
        </w:rPr>
      </w:pPr>
      <w:bookmarkStart w:id="168" w:name="_Toc27538"/>
      <w:bookmarkStart w:id="169" w:name="_Toc24336"/>
      <w:bookmarkStart w:id="170" w:name="_Toc11717"/>
      <w:bookmarkStart w:id="171" w:name="_Toc9079"/>
      <w:bookmarkStart w:id="172" w:name="_Toc10319"/>
      <w:bookmarkStart w:id="173" w:name="_Toc22749"/>
      <w:bookmarkStart w:id="174" w:name="_Toc9732"/>
      <w:bookmarkStart w:id="175" w:name="_Toc26055"/>
      <w:bookmarkStart w:id="176" w:name="_Toc1107"/>
      <w:bookmarkStart w:id="177" w:name="_Toc10615"/>
      <w:bookmarkStart w:id="178" w:name="_Toc24700"/>
      <w:bookmarkStart w:id="179" w:name="_Toc17543"/>
      <w:bookmarkStart w:id="180" w:name="_Toc16832"/>
      <w:bookmarkStart w:id="181" w:name="_Toc25001"/>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楷体" w:eastAsia="楷体" w:hAnsi="楷体" w:cs="宋体" w:hint="eastAsia"/>
          <w:sz w:val="32"/>
          <w:szCs w:val="32"/>
        </w:rPr>
        <w:t>（二）厂房与设施</w:t>
      </w:r>
      <w:bookmarkEnd w:id="181"/>
    </w:p>
    <w:p w:rsidR="00D8367D" w:rsidRDefault="00DE3927">
      <w:pPr>
        <w:spacing w:line="360" w:lineRule="auto"/>
        <w:ind w:firstLineChars="200" w:firstLine="640"/>
        <w:rPr>
          <w:rFonts w:ascii="仿宋_GB2312" w:eastAsia="仿宋_GB2312" w:hAnsi="Arial" w:cs="Arial"/>
          <w:color w:val="000000"/>
          <w:sz w:val="32"/>
          <w:szCs w:val="32"/>
        </w:rPr>
      </w:pPr>
      <w:bookmarkStart w:id="182" w:name="_Toc12604"/>
      <w:bookmarkStart w:id="183" w:name="_Toc3064"/>
      <w:bookmarkStart w:id="184" w:name="_Toc24258"/>
      <w:bookmarkStart w:id="185" w:name="_Toc11815"/>
      <w:bookmarkStart w:id="186" w:name="_Toc25341"/>
      <w:bookmarkStart w:id="187" w:name="_Toc14241"/>
      <w:bookmarkStart w:id="188" w:name="_Toc28334"/>
      <w:bookmarkStart w:id="189" w:name="_Toc19728"/>
      <w:bookmarkStart w:id="190" w:name="_Toc20254"/>
      <w:bookmarkStart w:id="191" w:name="_Toc17199"/>
      <w:bookmarkStart w:id="192" w:name="_Toc5888"/>
      <w:bookmarkStart w:id="193" w:name="_Toc29717"/>
      <w:bookmarkStart w:id="194" w:name="_Toc13038"/>
      <w:bookmarkStart w:id="195" w:name="_Toc32430"/>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仿宋_GB2312" w:eastAsia="仿宋_GB2312" w:hAnsi="Arial" w:cs="Arial" w:hint="eastAsia"/>
          <w:color w:val="000000"/>
          <w:sz w:val="32"/>
          <w:szCs w:val="32"/>
        </w:rPr>
        <w:t>此部分内容详见总则要求。</w:t>
      </w:r>
    </w:p>
    <w:p w:rsidR="00D8367D" w:rsidRDefault="00DE3927">
      <w:pPr>
        <w:spacing w:line="360" w:lineRule="auto"/>
        <w:ind w:firstLineChars="131" w:firstLine="419"/>
        <w:outlineLvl w:val="2"/>
        <w:rPr>
          <w:rFonts w:ascii="楷体" w:eastAsia="楷体" w:hAnsi="楷体" w:cs="宋体"/>
          <w:sz w:val="32"/>
          <w:szCs w:val="32"/>
        </w:rPr>
      </w:pPr>
      <w:r>
        <w:rPr>
          <w:rFonts w:ascii="楷体" w:eastAsia="楷体" w:hAnsi="楷体" w:cs="宋体" w:hint="eastAsia"/>
          <w:sz w:val="32"/>
          <w:szCs w:val="32"/>
        </w:rPr>
        <w:t>（三）设备</w:t>
      </w:r>
      <w:bookmarkEnd w:id="195"/>
    </w:p>
    <w:p w:rsidR="00D8367D" w:rsidRDefault="00DE3927">
      <w:p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企业应当配备与其相匹配的生产设备、工艺装备、检验仪器和设备及计量器具，并加强其验证、检查、维护保养和检定/校准，确保有效运行。</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安装设备：一般包括水平仪辅助工具、手枪钻、用于标定和准直的激光跟踪仪等设备。</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检验和检测设备：一般包括钢板直尺、铝直尺、卷尺、游标卡尺、千分尺、激光跟踪仪、耐压测试仪、漏电流测试仪、接地阻抗测试仪等。</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企业应建立监视测量设备相关管理程序文件，应对设备的采购、检定/校准、使用、维护保养等方面进行规定，并按照规定执行。</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企业应配备满足检测活动所需的监视测量设备，主要仪器和设备应具有明确的操作规程，并形成使用记录。</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企业应建立监视测量设备台账，应制定设备检定/校准周期和年度检定/校准计划。</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企业应对关键监视测量设备在长距离搬运、送校前、送校后进行功能核查，应满足使用要求。</w:t>
      </w:r>
    </w:p>
    <w:p w:rsidR="00D8367D" w:rsidRDefault="00DE3927">
      <w:pPr>
        <w:numPr>
          <w:ilvl w:val="0"/>
          <w:numId w:val="4"/>
        </w:numPr>
        <w:tabs>
          <w:tab w:val="left" w:pos="63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企业对不满足使用要求的检验仪器和设备，应对过往检验和试验结果进行有效性评价，并保存评价记录。</w:t>
      </w:r>
    </w:p>
    <w:p w:rsidR="00D8367D" w:rsidRDefault="00DE3927">
      <w:pPr>
        <w:spacing w:line="360" w:lineRule="auto"/>
        <w:ind w:firstLineChars="131" w:firstLine="419"/>
        <w:outlineLvl w:val="2"/>
        <w:rPr>
          <w:rFonts w:ascii="楷体" w:eastAsia="楷体" w:hAnsi="楷体" w:cs="宋体"/>
          <w:sz w:val="32"/>
          <w:szCs w:val="32"/>
        </w:rPr>
      </w:pPr>
      <w:bookmarkStart w:id="196" w:name="_Toc27247"/>
      <w:bookmarkStart w:id="197" w:name="_Toc13388"/>
      <w:bookmarkStart w:id="198" w:name="_Toc3693"/>
      <w:bookmarkStart w:id="199" w:name="_Toc5318"/>
      <w:bookmarkStart w:id="200" w:name="_Toc29878"/>
      <w:bookmarkStart w:id="201" w:name="_Toc18454"/>
      <w:bookmarkStart w:id="202" w:name="_Toc24404"/>
      <w:bookmarkStart w:id="203" w:name="_Toc3710"/>
      <w:bookmarkStart w:id="204" w:name="_Toc23983"/>
      <w:bookmarkStart w:id="205" w:name="_Toc18436"/>
      <w:bookmarkStart w:id="206" w:name="_Toc29946"/>
      <w:bookmarkStart w:id="207" w:name="_Toc3111"/>
      <w:bookmarkStart w:id="208" w:name="_Toc17491"/>
      <w:bookmarkStart w:id="209" w:name="_Toc17808"/>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楷体" w:eastAsia="楷体" w:hAnsi="楷体" w:cs="宋体" w:hint="eastAsia"/>
          <w:sz w:val="32"/>
          <w:szCs w:val="32"/>
        </w:rPr>
        <w:t>（四）文件管理</w:t>
      </w:r>
      <w:bookmarkEnd w:id="209"/>
    </w:p>
    <w:p w:rsidR="00D8367D" w:rsidRDefault="00DE3927">
      <w:pPr>
        <w:spacing w:line="360" w:lineRule="auto"/>
        <w:ind w:firstLineChars="200" w:firstLine="640"/>
        <w:rPr>
          <w:rFonts w:ascii="仿宋_GB2312" w:eastAsia="仿宋_GB2312" w:hAnsi="Arial" w:cs="Arial"/>
          <w:color w:val="000000"/>
          <w:sz w:val="32"/>
          <w:szCs w:val="32"/>
        </w:rPr>
      </w:pPr>
      <w:bookmarkStart w:id="210" w:name="_Toc329"/>
      <w:bookmarkStart w:id="211" w:name="_Toc14388"/>
      <w:bookmarkStart w:id="212" w:name="_Toc22730"/>
      <w:bookmarkStart w:id="213" w:name="_Toc22331"/>
      <w:bookmarkStart w:id="214" w:name="_Toc16244"/>
      <w:bookmarkStart w:id="215" w:name="_Toc16009"/>
      <w:bookmarkStart w:id="216" w:name="_Toc19242"/>
      <w:bookmarkStart w:id="217" w:name="_Toc24067"/>
      <w:bookmarkStart w:id="218" w:name="_Toc31939"/>
      <w:bookmarkStart w:id="219" w:name="_Toc28671"/>
      <w:bookmarkStart w:id="220" w:name="_Toc8882"/>
      <w:bookmarkStart w:id="221" w:name="_Toc29332"/>
      <w:bookmarkStart w:id="222" w:name="_Toc21425"/>
      <w:bookmarkStart w:id="223" w:name="_Toc7671"/>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仿宋_GB2312" w:eastAsia="仿宋_GB2312" w:hAnsi="Arial" w:cs="Arial" w:hint="eastAsia"/>
          <w:color w:val="000000"/>
          <w:sz w:val="32"/>
          <w:szCs w:val="32"/>
        </w:rPr>
        <w:t>此部分内容详见总则要求。</w:t>
      </w:r>
    </w:p>
    <w:p w:rsidR="00D8367D" w:rsidRDefault="00DE3927">
      <w:pPr>
        <w:spacing w:line="360" w:lineRule="auto"/>
        <w:ind w:firstLineChars="131" w:firstLine="419"/>
        <w:outlineLvl w:val="2"/>
        <w:rPr>
          <w:rFonts w:ascii="楷体" w:eastAsia="楷体" w:hAnsi="楷体" w:cs="宋体"/>
          <w:sz w:val="32"/>
          <w:szCs w:val="32"/>
        </w:rPr>
      </w:pPr>
      <w:r>
        <w:rPr>
          <w:rFonts w:ascii="楷体" w:eastAsia="楷体" w:hAnsi="楷体" w:cs="宋体" w:hint="eastAsia"/>
          <w:sz w:val="32"/>
          <w:szCs w:val="32"/>
        </w:rPr>
        <w:t>（五）设计开发</w:t>
      </w:r>
      <w:bookmarkEnd w:id="223"/>
    </w:p>
    <w:p w:rsidR="00D8367D" w:rsidRDefault="00DE3927">
      <w:pPr>
        <w:spacing w:line="360" w:lineRule="auto"/>
        <w:ind w:firstLineChars="200" w:firstLine="640"/>
        <w:rPr>
          <w:rFonts w:ascii="仿宋_GB2312" w:eastAsia="仿宋_GB2312" w:hAnsi="Arial" w:cs="Arial"/>
          <w:color w:val="000000"/>
          <w:sz w:val="32"/>
          <w:szCs w:val="32"/>
        </w:rPr>
      </w:pPr>
      <w:bookmarkStart w:id="224" w:name="_Toc15389"/>
      <w:bookmarkStart w:id="225" w:name="_Toc18000"/>
      <w:bookmarkStart w:id="226" w:name="_Toc24728"/>
      <w:bookmarkStart w:id="227" w:name="_Toc830"/>
      <w:bookmarkStart w:id="228" w:name="_Toc31558"/>
      <w:bookmarkStart w:id="229" w:name="_Toc13949"/>
      <w:bookmarkStart w:id="230" w:name="_Toc31548"/>
      <w:bookmarkStart w:id="231" w:name="_Toc18474"/>
      <w:bookmarkStart w:id="232" w:name="_Toc19522"/>
      <w:bookmarkStart w:id="233" w:name="_Toc912"/>
      <w:bookmarkStart w:id="234" w:name="_Toc25304"/>
      <w:bookmarkStart w:id="235" w:name="_Toc32036"/>
      <w:bookmarkStart w:id="236" w:name="_Toc6688"/>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仿宋_GB2312" w:eastAsia="仿宋_GB2312" w:hAnsi="Arial" w:cs="Arial" w:hint="eastAsia"/>
          <w:color w:val="000000"/>
          <w:sz w:val="32"/>
          <w:szCs w:val="32"/>
        </w:rPr>
        <w:lastRenderedPageBreak/>
        <w:t>此部分内容详见总则要求。</w:t>
      </w:r>
    </w:p>
    <w:p w:rsidR="00D8367D" w:rsidRDefault="00DE3927">
      <w:pPr>
        <w:spacing w:line="360" w:lineRule="auto"/>
        <w:ind w:firstLineChars="131" w:firstLine="419"/>
        <w:outlineLvl w:val="2"/>
        <w:rPr>
          <w:rFonts w:ascii="楷体" w:eastAsia="楷体" w:hAnsi="楷体" w:cs="宋体"/>
          <w:sz w:val="32"/>
          <w:szCs w:val="32"/>
        </w:rPr>
      </w:pPr>
      <w:r>
        <w:rPr>
          <w:rFonts w:ascii="楷体" w:eastAsia="楷体" w:hAnsi="楷体" w:cs="宋体" w:hint="eastAsia"/>
          <w:sz w:val="32"/>
          <w:szCs w:val="32"/>
        </w:rPr>
        <w:t>（六）采购</w:t>
      </w:r>
    </w:p>
    <w:p w:rsidR="00D8367D" w:rsidRDefault="00DE392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激光定位系统的质量技术协议或采购合同中明确主要技术参数、规格型号、质量要求及验收标准等内容，必要时要求供方提供出厂检验报告。</w:t>
      </w:r>
    </w:p>
    <w:p w:rsidR="00D8367D" w:rsidRDefault="00DE392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1.企业应具有物资分类明细表或物料清单，应至少包含产品名称、规格型号、分类等级等内容。应涵盖企业产品所涉及的全部原材料及辅料、耗材。企业应根据产品分类情况，对供方提出相应的控制要求。</w:t>
      </w:r>
    </w:p>
    <w:p w:rsidR="00D8367D" w:rsidRDefault="00DE392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p>
    <w:p w:rsidR="00D8367D" w:rsidRDefault="00DE392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保存采购过程活动记录，如激光定位系统采购申请单、采购合同、出厂验证报告、安装现场的来料检验等信息等，记录内容包括但不限于以下关键信息：物料的品名、型号规格、批号、供应商（生产商）信息、质量标准、进货验收结果以及采购凭证等，记录应保持完整且可追溯。</w:t>
      </w:r>
    </w:p>
    <w:p w:rsidR="00D8367D" w:rsidRDefault="00DE3927">
      <w:pPr>
        <w:spacing w:line="360" w:lineRule="auto"/>
        <w:ind w:firstLineChars="131" w:firstLine="419"/>
        <w:outlineLvl w:val="2"/>
        <w:rPr>
          <w:rFonts w:ascii="楷体" w:eastAsia="楷体" w:hAnsi="楷体" w:cs="宋体"/>
          <w:sz w:val="32"/>
          <w:szCs w:val="32"/>
        </w:rPr>
      </w:pPr>
      <w:bookmarkStart w:id="237" w:name="_Toc23977"/>
      <w:bookmarkStart w:id="238" w:name="_Toc10564"/>
      <w:bookmarkStart w:id="239" w:name="_Toc18952"/>
      <w:bookmarkStart w:id="240" w:name="_Toc25875"/>
      <w:bookmarkStart w:id="241" w:name="_Toc15960"/>
      <w:bookmarkStart w:id="242" w:name="_Toc9889"/>
      <w:bookmarkStart w:id="243" w:name="_Toc13464"/>
      <w:bookmarkStart w:id="244" w:name="_Toc29254"/>
      <w:bookmarkStart w:id="245" w:name="_Toc28898"/>
      <w:bookmarkStart w:id="246" w:name="_Toc3951"/>
      <w:bookmarkStart w:id="247" w:name="_Toc5098"/>
      <w:bookmarkStart w:id="248" w:name="_Toc7976"/>
      <w:bookmarkStart w:id="249" w:name="_Toc7071"/>
      <w:bookmarkStart w:id="250" w:name="_Toc659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楷体" w:eastAsia="楷体" w:hAnsi="楷体" w:cs="宋体" w:hint="eastAsia"/>
          <w:sz w:val="32"/>
          <w:szCs w:val="32"/>
        </w:rPr>
        <w:t>（七）生产管理</w:t>
      </w:r>
    </w:p>
    <w:p w:rsidR="00D8367D" w:rsidRDefault="00DE3927">
      <w:pPr>
        <w:spacing w:line="360" w:lineRule="auto"/>
        <w:ind w:firstLineChars="200" w:firstLine="640"/>
        <w:rPr>
          <w:rFonts w:ascii="仿宋" w:eastAsia="仿宋" w:hAnsi="仿宋" w:cs="宋体"/>
          <w:color w:val="000000"/>
          <w:sz w:val="32"/>
          <w:szCs w:val="32"/>
        </w:rPr>
      </w:pPr>
      <w:bookmarkStart w:id="251" w:name="_Toc24811"/>
      <w:bookmarkStart w:id="252" w:name="_Toc29041"/>
      <w:bookmarkStart w:id="253" w:name="_Toc24546"/>
      <w:bookmarkStart w:id="254" w:name="_Toc222"/>
      <w:bookmarkStart w:id="255" w:name="_Toc24078"/>
      <w:bookmarkStart w:id="256" w:name="_Toc32727"/>
      <w:bookmarkStart w:id="257" w:name="_Toc12613"/>
      <w:bookmarkStart w:id="258" w:name="_Toc15267"/>
      <w:bookmarkStart w:id="259" w:name="_Toc31341"/>
      <w:bookmarkStart w:id="260" w:name="_Toc4880"/>
      <w:bookmarkStart w:id="261" w:name="_Toc29930"/>
      <w:bookmarkStart w:id="262" w:name="_Toc17302"/>
      <w:bookmarkStart w:id="263" w:name="_Toc26479"/>
      <w:bookmarkStart w:id="264" w:name="_Toc27642"/>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仿宋" w:eastAsia="仿宋" w:hAnsi="仿宋" w:cs="宋体" w:hint="eastAsia"/>
          <w:color w:val="000000"/>
          <w:sz w:val="32"/>
          <w:szCs w:val="32"/>
        </w:rPr>
        <w:t>企业应制定安装、调试作业文件，并保留产品安装、调</w:t>
      </w:r>
      <w:r>
        <w:rPr>
          <w:rFonts w:ascii="仿宋" w:eastAsia="仿宋" w:hAnsi="仿宋" w:cs="宋体" w:hint="eastAsia"/>
          <w:color w:val="000000"/>
          <w:sz w:val="32"/>
          <w:szCs w:val="32"/>
        </w:rPr>
        <w:lastRenderedPageBreak/>
        <w:t>试和安装验收记录。生产企业应当履行安装调试工作的安全主体责任，强化安全管理措施，确保安装调试现场的安全。所有相关活动开展应符合相关法律、法规、标准及质量管理体系的要求。</w:t>
      </w:r>
      <w:bookmarkEnd w:id="264"/>
    </w:p>
    <w:p w:rsidR="00D8367D" w:rsidRDefault="00DE3927">
      <w:pPr>
        <w:numPr>
          <w:ilvl w:val="0"/>
          <w:numId w:val="5"/>
        </w:num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t>安装：</w:t>
      </w:r>
    </w:p>
    <w:p w:rsidR="00D8367D" w:rsidRDefault="00DE3927">
      <w:pPr>
        <w:numPr>
          <w:ilvl w:val="0"/>
          <w:numId w:val="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企业应制定激光定位系统的安装作业文件及安装验收要求文件。</w:t>
      </w:r>
    </w:p>
    <w:p w:rsidR="00D8367D" w:rsidRDefault="00DE3927">
      <w:pPr>
        <w:numPr>
          <w:ilvl w:val="0"/>
          <w:numId w:val="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企业应根据安装作业的具体要求配置所需的安装设备，确保使用过程中的记录完整、真实、可追溯。对于任何异常记录，企业应进行进一步调查和必要的处理，确保安装过程的质量和安全。</w:t>
      </w:r>
    </w:p>
    <w:p w:rsidR="00D8367D" w:rsidRDefault="00DE3927">
      <w:pPr>
        <w:numPr>
          <w:ilvl w:val="0"/>
          <w:numId w:val="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企业应具有完善的辐射剂量检测措施和防护措施。</w:t>
      </w:r>
    </w:p>
    <w:p w:rsidR="00D8367D" w:rsidRDefault="00DE3927">
      <w:pPr>
        <w:numPr>
          <w:ilvl w:val="0"/>
          <w:numId w:val="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企业应确认安装工作按照作业文件执行，确保激光定位系统的运行可靠性和稳定性，并对安装结果进行符合性验证。</w:t>
      </w:r>
    </w:p>
    <w:p w:rsidR="00D8367D" w:rsidRDefault="00DE3927">
      <w:pPr>
        <w:numPr>
          <w:ilvl w:val="0"/>
          <w:numId w:val="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安装完成后，企业应进行必要的性能测试和安全检查，确保符合预定的性能标准和安全要求。</w:t>
      </w:r>
    </w:p>
    <w:p w:rsidR="00D8367D" w:rsidRDefault="00DE3927">
      <w:pPr>
        <w:numPr>
          <w:ilvl w:val="0"/>
          <w:numId w:val="5"/>
        </w:num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t>调试：</w:t>
      </w:r>
    </w:p>
    <w:p w:rsidR="00D8367D" w:rsidRDefault="00DE3927">
      <w:pPr>
        <w:numPr>
          <w:ilvl w:val="0"/>
          <w:numId w:val="7"/>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企业应制定激光定位系统调试作业指导文件。</w:t>
      </w:r>
    </w:p>
    <w:p w:rsidR="00D8367D" w:rsidRDefault="00DE3927">
      <w:pPr>
        <w:numPr>
          <w:ilvl w:val="0"/>
          <w:numId w:val="7"/>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企业应配置调试所需要的检验设备，并进行管理。</w:t>
      </w:r>
    </w:p>
    <w:p w:rsidR="00D8367D" w:rsidRDefault="00DE3927">
      <w:pPr>
        <w:numPr>
          <w:ilvl w:val="0"/>
          <w:numId w:val="7"/>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企业应按照调试作业文件的要求及设计指标的要求进行激光系统调试，确保坐标系、定位线激光宽度、定位</w:t>
      </w:r>
      <w:r>
        <w:rPr>
          <w:rFonts w:ascii="仿宋" w:eastAsia="仿宋" w:hAnsi="仿宋" w:cs="宋体" w:hint="eastAsia"/>
          <w:color w:val="000000"/>
          <w:sz w:val="32"/>
          <w:szCs w:val="32"/>
        </w:rPr>
        <w:lastRenderedPageBreak/>
        <w:t>线的长度、直线度、垂直度、定位准确性和激光功率等指标满足要求，并形成相应的记录。</w:t>
      </w:r>
    </w:p>
    <w:p w:rsidR="00D8367D" w:rsidRDefault="00DE3927">
      <w:pPr>
        <w:spacing w:line="360" w:lineRule="auto"/>
        <w:ind w:firstLineChars="131" w:firstLine="419"/>
        <w:outlineLvl w:val="2"/>
        <w:rPr>
          <w:rFonts w:ascii="楷体" w:eastAsia="楷体" w:hAnsi="楷体" w:cs="宋体"/>
          <w:sz w:val="32"/>
          <w:szCs w:val="32"/>
        </w:rPr>
      </w:pPr>
      <w:r>
        <w:rPr>
          <w:rFonts w:ascii="楷体" w:eastAsia="楷体" w:hAnsi="楷体" w:cs="宋体" w:hint="eastAsia"/>
          <w:sz w:val="32"/>
          <w:szCs w:val="32"/>
        </w:rPr>
        <w:t>（八）质量控制</w:t>
      </w:r>
    </w:p>
    <w:p w:rsidR="00D8367D" w:rsidRDefault="00DE3927">
      <w:pPr>
        <w:spacing w:line="360" w:lineRule="auto"/>
        <w:ind w:firstLineChars="200" w:firstLine="640"/>
        <w:rPr>
          <w:rFonts w:ascii="仿宋" w:eastAsia="仿宋" w:hAnsi="仿宋" w:cs="宋体"/>
          <w:szCs w:val="21"/>
        </w:rPr>
      </w:pPr>
      <w:r>
        <w:rPr>
          <w:rFonts w:ascii="仿宋" w:eastAsia="仿宋" w:hAnsi="仿宋" w:cs="宋体" w:hint="eastAsia"/>
          <w:color w:val="000000"/>
          <w:sz w:val="32"/>
          <w:szCs w:val="32"/>
        </w:rPr>
        <w:t>企业应建立质量控制程序，规定检验部门、人员、操作等要求，并规定检验仪器设备的使用、校准等要求，以及产品放行的程序。</w:t>
      </w:r>
    </w:p>
    <w:p w:rsidR="00D8367D" w:rsidRDefault="00DE3927">
      <w:pPr>
        <w:numPr>
          <w:ilvl w:val="0"/>
          <w:numId w:val="8"/>
        </w:num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控制程序</w:t>
      </w:r>
    </w:p>
    <w:p w:rsidR="00D8367D" w:rsidRDefault="00DE3927">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企业应建立相应检验管理控制程序文件，如：检验放行控制程序、不合格品控制程序、监视测量设备管理控制程序等。</w:t>
      </w:r>
    </w:p>
    <w:p w:rsidR="00D8367D" w:rsidRDefault="00DE3927">
      <w:pPr>
        <w:numPr>
          <w:ilvl w:val="0"/>
          <w:numId w:val="8"/>
        </w:num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来料、过程控制</w:t>
      </w:r>
    </w:p>
    <w:p w:rsidR="00D8367D" w:rsidRDefault="00DE3927">
      <w:pPr>
        <w:numPr>
          <w:ilvl w:val="0"/>
          <w:numId w:val="9"/>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企业应对来料形成验收资料。</w:t>
      </w:r>
    </w:p>
    <w:p w:rsidR="00D8367D" w:rsidRDefault="00DE3927">
      <w:pPr>
        <w:numPr>
          <w:ilvl w:val="0"/>
          <w:numId w:val="9"/>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企业应对产品安装调试过程形成验收记录，应包含关键控制参数。</w:t>
      </w:r>
    </w:p>
    <w:p w:rsidR="00D8367D" w:rsidRDefault="00DE3927">
      <w:pPr>
        <w:numPr>
          <w:ilvl w:val="0"/>
          <w:numId w:val="8"/>
        </w:num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不合格品控制</w:t>
      </w:r>
    </w:p>
    <w:p w:rsidR="00D8367D" w:rsidRDefault="00DE3927">
      <w:pPr>
        <w:numPr>
          <w:ilvl w:val="0"/>
          <w:numId w:val="10"/>
        </w:numPr>
        <w:tabs>
          <w:tab w:val="left" w:pos="1050"/>
        </w:tabs>
        <w:spacing w:line="360" w:lineRule="auto"/>
        <w:ind w:left="0" w:firstLine="640"/>
        <w:rPr>
          <w:rFonts w:ascii="仿宋" w:eastAsia="仿宋" w:hAnsi="仿宋" w:cs="宋体"/>
          <w:color w:val="000000"/>
          <w:sz w:val="32"/>
          <w:szCs w:val="32"/>
        </w:rPr>
      </w:pPr>
      <w:bookmarkStart w:id="265" w:name="_GoBack"/>
      <w:bookmarkEnd w:id="265"/>
      <w:r>
        <w:rPr>
          <w:rFonts w:ascii="仿宋" w:eastAsia="仿宋" w:hAnsi="仿宋" w:cs="宋体" w:hint="eastAsia"/>
          <w:color w:val="000000"/>
          <w:sz w:val="32"/>
          <w:szCs w:val="32"/>
        </w:rPr>
        <w:t>企业应建立不合格品控制程序，规定不合格品控制的部门和人员的职责与权限。</w:t>
      </w:r>
    </w:p>
    <w:p w:rsidR="00D8367D" w:rsidRDefault="00DE3927">
      <w:pPr>
        <w:numPr>
          <w:ilvl w:val="0"/>
          <w:numId w:val="10"/>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企业应明确不合格物料的识别、记录、隔离和评审流程，根据评审结果，对不合格物料采取相应的处置措施。</w:t>
      </w:r>
    </w:p>
    <w:p w:rsidR="00D8367D" w:rsidRDefault="00DE3927">
      <w:pPr>
        <w:numPr>
          <w:ilvl w:val="0"/>
          <w:numId w:val="10"/>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企业应按程序文件要求执行，对不合格物料分门归类、原因分析、纠正预防措施应合理、有效，应进行评审，且保留评审记录。</w:t>
      </w:r>
    </w:p>
    <w:p w:rsidR="00D8367D" w:rsidRDefault="00DE3927">
      <w:pPr>
        <w:numPr>
          <w:ilvl w:val="0"/>
          <w:numId w:val="10"/>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企业应对可以返工的不合格物料作出规定，应按照返工文件要求进行返工活动，并记录。</w:t>
      </w:r>
    </w:p>
    <w:p w:rsidR="00D8367D" w:rsidRDefault="00DE3927">
      <w:pPr>
        <w:numPr>
          <w:ilvl w:val="0"/>
          <w:numId w:val="10"/>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企业应建立不合格物料处置记录，记录内容应完整且能有效反映处置的过程，满足可追溯要求。</w:t>
      </w:r>
      <w:bookmarkStart w:id="266" w:name="_Toc18621"/>
      <w:bookmarkStart w:id="267" w:name="_Toc25573"/>
      <w:bookmarkStart w:id="268" w:name="_Toc13661"/>
      <w:bookmarkStart w:id="269" w:name="_Toc16483"/>
      <w:bookmarkStart w:id="270" w:name="_Toc29022"/>
      <w:bookmarkStart w:id="271" w:name="_Toc25970"/>
      <w:bookmarkStart w:id="272" w:name="_Toc7056"/>
      <w:bookmarkStart w:id="273" w:name="_Toc22114"/>
      <w:bookmarkStart w:id="274" w:name="_Toc25281"/>
      <w:bookmarkStart w:id="275" w:name="_Toc18777"/>
      <w:bookmarkStart w:id="276" w:name="_Toc22459"/>
      <w:bookmarkStart w:id="277" w:name="_Toc12615"/>
      <w:bookmarkStart w:id="278" w:name="_Toc1312"/>
      <w:bookmarkEnd w:id="266"/>
      <w:bookmarkEnd w:id="267"/>
      <w:bookmarkEnd w:id="268"/>
      <w:bookmarkEnd w:id="269"/>
      <w:bookmarkEnd w:id="270"/>
      <w:bookmarkEnd w:id="271"/>
      <w:bookmarkEnd w:id="272"/>
      <w:bookmarkEnd w:id="273"/>
      <w:bookmarkEnd w:id="274"/>
      <w:bookmarkEnd w:id="275"/>
      <w:bookmarkEnd w:id="276"/>
      <w:bookmarkEnd w:id="277"/>
      <w:bookmarkEnd w:id="278"/>
    </w:p>
    <w:sectPr w:rsidR="00D836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2A" w:rsidRDefault="00802A2A" w:rsidP="00B85985">
      <w:r>
        <w:separator/>
      </w:r>
    </w:p>
  </w:endnote>
  <w:endnote w:type="continuationSeparator" w:id="0">
    <w:p w:rsidR="00802A2A" w:rsidRDefault="00802A2A" w:rsidP="00B8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297244"/>
      <w:docPartObj>
        <w:docPartGallery w:val="Page Numbers (Bottom of Page)"/>
        <w:docPartUnique/>
      </w:docPartObj>
    </w:sdtPr>
    <w:sdtEndPr/>
    <w:sdtContent>
      <w:sdt>
        <w:sdtPr>
          <w:id w:val="1728636285"/>
          <w:docPartObj>
            <w:docPartGallery w:val="Page Numbers (Top of Page)"/>
            <w:docPartUnique/>
          </w:docPartObj>
        </w:sdtPr>
        <w:sdtEndPr/>
        <w:sdtContent>
          <w:p w:rsidR="00B85985" w:rsidRDefault="00B85985">
            <w:pPr>
              <w:pStyle w:val="a9"/>
              <w:jc w:val="center"/>
            </w:pPr>
            <w:r w:rsidRPr="00B85985">
              <w:rPr>
                <w:rFonts w:ascii="宋体" w:eastAsia="宋体" w:hAnsi="宋体" w:hint="eastAsia"/>
                <w:sz w:val="21"/>
                <w:szCs w:val="21"/>
              </w:rPr>
              <w:t>第</w:t>
            </w:r>
            <w:r w:rsidRPr="00B85985">
              <w:rPr>
                <w:rFonts w:ascii="宋体" w:eastAsia="宋体" w:hAnsi="宋体"/>
                <w:bCs/>
                <w:sz w:val="21"/>
                <w:szCs w:val="21"/>
              </w:rPr>
              <w:fldChar w:fldCharType="begin"/>
            </w:r>
            <w:r w:rsidRPr="00B85985">
              <w:rPr>
                <w:rFonts w:ascii="宋体" w:eastAsia="宋体" w:hAnsi="宋体"/>
                <w:bCs/>
                <w:sz w:val="21"/>
                <w:szCs w:val="21"/>
              </w:rPr>
              <w:instrText>PAGE</w:instrText>
            </w:r>
            <w:r w:rsidRPr="00B85985">
              <w:rPr>
                <w:rFonts w:ascii="宋体" w:eastAsia="宋体" w:hAnsi="宋体"/>
                <w:bCs/>
                <w:sz w:val="21"/>
                <w:szCs w:val="21"/>
              </w:rPr>
              <w:fldChar w:fldCharType="separate"/>
            </w:r>
            <w:r w:rsidR="004F7896">
              <w:rPr>
                <w:rFonts w:ascii="宋体" w:eastAsia="宋体" w:hAnsi="宋体"/>
                <w:bCs/>
                <w:noProof/>
                <w:sz w:val="21"/>
                <w:szCs w:val="21"/>
              </w:rPr>
              <w:t>10</w:t>
            </w:r>
            <w:r w:rsidRPr="00B85985">
              <w:rPr>
                <w:rFonts w:ascii="宋体" w:eastAsia="宋体" w:hAnsi="宋体"/>
                <w:bCs/>
                <w:sz w:val="21"/>
                <w:szCs w:val="21"/>
              </w:rPr>
              <w:fldChar w:fldCharType="end"/>
            </w:r>
            <w:r w:rsidRPr="00B85985">
              <w:rPr>
                <w:rFonts w:ascii="宋体" w:eastAsia="宋体" w:hAnsi="宋体" w:hint="eastAsia"/>
                <w:sz w:val="21"/>
                <w:szCs w:val="21"/>
                <w:lang w:val="zh-CN"/>
              </w:rPr>
              <w:t>页</w:t>
            </w:r>
            <w:r w:rsidRPr="00B85985">
              <w:rPr>
                <w:rFonts w:ascii="宋体" w:eastAsia="宋体" w:hAnsi="宋体"/>
                <w:sz w:val="21"/>
                <w:szCs w:val="21"/>
                <w:lang w:val="zh-CN"/>
              </w:rPr>
              <w:t xml:space="preserve"> </w:t>
            </w:r>
            <w:r w:rsidRPr="00B85985">
              <w:rPr>
                <w:rFonts w:ascii="宋体" w:eastAsia="宋体" w:hAnsi="宋体" w:hint="eastAsia"/>
                <w:sz w:val="21"/>
                <w:szCs w:val="21"/>
                <w:lang w:val="zh-CN"/>
              </w:rPr>
              <w:t>共</w:t>
            </w:r>
            <w:r w:rsidRPr="00B85985">
              <w:rPr>
                <w:rFonts w:ascii="宋体" w:eastAsia="宋体" w:hAnsi="宋体"/>
                <w:bCs/>
                <w:sz w:val="21"/>
                <w:szCs w:val="21"/>
              </w:rPr>
              <w:fldChar w:fldCharType="begin"/>
            </w:r>
            <w:r w:rsidRPr="00B85985">
              <w:rPr>
                <w:rFonts w:ascii="宋体" w:eastAsia="宋体" w:hAnsi="宋体"/>
                <w:bCs/>
                <w:sz w:val="21"/>
                <w:szCs w:val="21"/>
              </w:rPr>
              <w:instrText>NUMPAGES</w:instrText>
            </w:r>
            <w:r w:rsidRPr="00B85985">
              <w:rPr>
                <w:rFonts w:ascii="宋体" w:eastAsia="宋体" w:hAnsi="宋体"/>
                <w:bCs/>
                <w:sz w:val="21"/>
                <w:szCs w:val="21"/>
              </w:rPr>
              <w:fldChar w:fldCharType="separate"/>
            </w:r>
            <w:r w:rsidR="004F7896">
              <w:rPr>
                <w:rFonts w:ascii="宋体" w:eastAsia="宋体" w:hAnsi="宋体"/>
                <w:bCs/>
                <w:noProof/>
                <w:sz w:val="21"/>
                <w:szCs w:val="21"/>
              </w:rPr>
              <w:t>10</w:t>
            </w:r>
            <w:r w:rsidRPr="00B85985">
              <w:rPr>
                <w:rFonts w:ascii="宋体" w:eastAsia="宋体" w:hAnsi="宋体"/>
                <w:bCs/>
                <w:sz w:val="21"/>
                <w:szCs w:val="21"/>
              </w:rPr>
              <w:fldChar w:fldCharType="end"/>
            </w:r>
            <w:r w:rsidRPr="00B85985">
              <w:rPr>
                <w:rFonts w:ascii="宋体" w:eastAsia="宋体" w:hAnsi="宋体" w:hint="eastAsia"/>
                <w:bCs/>
                <w:sz w:val="21"/>
                <w:szCs w:val="21"/>
              </w:rPr>
              <w:t>页</w:t>
            </w:r>
          </w:p>
        </w:sdtContent>
      </w:sdt>
    </w:sdtContent>
  </w:sdt>
  <w:p w:rsidR="00B85985" w:rsidRDefault="00B859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2A" w:rsidRDefault="00802A2A" w:rsidP="00B85985">
      <w:r>
        <w:separator/>
      </w:r>
    </w:p>
  </w:footnote>
  <w:footnote w:type="continuationSeparator" w:id="0">
    <w:p w:rsidR="00802A2A" w:rsidRDefault="00802A2A" w:rsidP="00B859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1232A7"/>
    <w:multiLevelType w:val="singleLevel"/>
    <w:tmpl w:val="A01232A7"/>
    <w:lvl w:ilvl="0">
      <w:start w:val="1"/>
      <w:numFmt w:val="chineseCounting"/>
      <w:suff w:val="nothing"/>
      <w:lvlText w:val="（%1）"/>
      <w:lvlJc w:val="left"/>
      <w:rPr>
        <w:rFonts w:hint="eastAsia"/>
      </w:rPr>
    </w:lvl>
  </w:abstractNum>
  <w:abstractNum w:abstractNumId="1" w15:restartNumberingAfterBreak="0">
    <w:nsid w:val="F60CC0D8"/>
    <w:multiLevelType w:val="singleLevel"/>
    <w:tmpl w:val="7862DF68"/>
    <w:lvl w:ilvl="0">
      <w:start w:val="1"/>
      <w:numFmt w:val="decimal"/>
      <w:suff w:val="nothing"/>
      <w:lvlText w:val="（%1）"/>
      <w:lvlJc w:val="left"/>
      <w:pPr>
        <w:ind w:left="420" w:hanging="420"/>
      </w:pPr>
      <w:rPr>
        <w:rFonts w:hint="default"/>
      </w:rPr>
    </w:lvl>
  </w:abstractNum>
  <w:abstractNum w:abstractNumId="2" w15:restartNumberingAfterBreak="0">
    <w:nsid w:val="1B1CDEAB"/>
    <w:multiLevelType w:val="singleLevel"/>
    <w:tmpl w:val="D8085F68"/>
    <w:lvl w:ilvl="0">
      <w:start w:val="1"/>
      <w:numFmt w:val="decimal"/>
      <w:suff w:val="nothing"/>
      <w:lvlText w:val="（%1）"/>
      <w:lvlJc w:val="left"/>
      <w:pPr>
        <w:ind w:left="420" w:hanging="420"/>
      </w:pPr>
      <w:rPr>
        <w:rFonts w:hint="default"/>
      </w:rPr>
    </w:lvl>
  </w:abstractNum>
  <w:abstractNum w:abstractNumId="3" w15:restartNumberingAfterBreak="0">
    <w:nsid w:val="1CFC318D"/>
    <w:multiLevelType w:val="multilevel"/>
    <w:tmpl w:val="1CFC318D"/>
    <w:lvl w:ilvl="0">
      <w:start w:val="1"/>
      <w:numFmt w:val="decimal"/>
      <w:lvlText w:val="%1."/>
      <w:lvlJc w:val="left"/>
      <w:pPr>
        <w:ind w:left="1080"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1D7F6F1B"/>
    <w:multiLevelType w:val="singleLevel"/>
    <w:tmpl w:val="54907D2A"/>
    <w:lvl w:ilvl="0">
      <w:start w:val="1"/>
      <w:numFmt w:val="decimal"/>
      <w:suff w:val="nothing"/>
      <w:lvlText w:val="（%1）"/>
      <w:lvlJc w:val="left"/>
      <w:pPr>
        <w:ind w:left="420" w:hanging="420"/>
      </w:pPr>
      <w:rPr>
        <w:rFonts w:hint="default"/>
      </w:rPr>
    </w:lvl>
  </w:abstractNum>
  <w:abstractNum w:abstractNumId="5" w15:restartNumberingAfterBreak="0">
    <w:nsid w:val="2AB0F3B2"/>
    <w:multiLevelType w:val="singleLevel"/>
    <w:tmpl w:val="F4A0607A"/>
    <w:lvl w:ilvl="0">
      <w:start w:val="1"/>
      <w:numFmt w:val="decimal"/>
      <w:suff w:val="nothing"/>
      <w:lvlText w:val="（%1）"/>
      <w:lvlJc w:val="left"/>
      <w:pPr>
        <w:ind w:left="420" w:hanging="420"/>
      </w:pPr>
      <w:rPr>
        <w:rFonts w:hint="default"/>
      </w:rPr>
    </w:lvl>
  </w:abstractNum>
  <w:abstractNum w:abstractNumId="6" w15:restartNumberingAfterBreak="0">
    <w:nsid w:val="2DD10026"/>
    <w:multiLevelType w:val="singleLevel"/>
    <w:tmpl w:val="2DD10026"/>
    <w:lvl w:ilvl="0">
      <w:start w:val="1"/>
      <w:numFmt w:val="decimal"/>
      <w:suff w:val="nothing"/>
      <w:lvlText w:val="%1．"/>
      <w:lvlJc w:val="left"/>
      <w:pPr>
        <w:ind w:left="0" w:firstLine="400"/>
      </w:pPr>
      <w:rPr>
        <w:rFonts w:hint="default"/>
      </w:rPr>
    </w:lvl>
  </w:abstractNum>
  <w:abstractNum w:abstractNumId="7" w15:restartNumberingAfterBreak="0">
    <w:nsid w:val="35659EC1"/>
    <w:multiLevelType w:val="singleLevel"/>
    <w:tmpl w:val="35659EC1"/>
    <w:lvl w:ilvl="0">
      <w:start w:val="1"/>
      <w:numFmt w:val="decimal"/>
      <w:suff w:val="nothing"/>
      <w:lvlText w:val="%1．"/>
      <w:lvlJc w:val="left"/>
      <w:pPr>
        <w:ind w:left="0" w:firstLine="400"/>
      </w:pPr>
      <w:rPr>
        <w:rFonts w:hint="default"/>
      </w:rPr>
    </w:lvl>
  </w:abstractNum>
  <w:abstractNum w:abstractNumId="8" w15:restartNumberingAfterBreak="0">
    <w:nsid w:val="54590F63"/>
    <w:multiLevelType w:val="singleLevel"/>
    <w:tmpl w:val="54590F63"/>
    <w:lvl w:ilvl="0">
      <w:start w:val="1"/>
      <w:numFmt w:val="decimal"/>
      <w:suff w:val="nothing"/>
      <w:lvlText w:val="%1．"/>
      <w:lvlJc w:val="left"/>
      <w:pPr>
        <w:ind w:left="0" w:firstLine="400"/>
      </w:pPr>
      <w:rPr>
        <w:rFonts w:hint="default"/>
      </w:rPr>
    </w:lvl>
  </w:abstractNum>
  <w:abstractNum w:abstractNumId="9" w15:restartNumberingAfterBreak="0">
    <w:nsid w:val="79FF0D7C"/>
    <w:multiLevelType w:val="multilevel"/>
    <w:tmpl w:val="1F38FD1A"/>
    <w:lvl w:ilvl="0">
      <w:start w:val="1"/>
      <w:numFmt w:val="decimal"/>
      <w:suff w:val="nothing"/>
      <w:lvlText w:val="（%1）"/>
      <w:lvlJc w:val="left"/>
      <w:pPr>
        <w:ind w:left="1080" w:hanging="440"/>
      </w:pPr>
      <w:rPr>
        <w:rFonts w:hint="eastAsia"/>
      </w:rPr>
    </w:lvl>
    <w:lvl w:ilvl="1">
      <w:start w:val="1"/>
      <w:numFmt w:val="lowerLetter"/>
      <w:lvlText w:val="%2)"/>
      <w:lvlJc w:val="left"/>
      <w:pPr>
        <w:ind w:left="1520" w:hanging="440"/>
      </w:pPr>
      <w:rPr>
        <w:rFonts w:hint="eastAsia"/>
      </w:rPr>
    </w:lvl>
    <w:lvl w:ilvl="2">
      <w:start w:val="1"/>
      <w:numFmt w:val="lowerRoman"/>
      <w:lvlText w:val="%3."/>
      <w:lvlJc w:val="right"/>
      <w:pPr>
        <w:ind w:left="1960" w:hanging="440"/>
      </w:pPr>
      <w:rPr>
        <w:rFonts w:hint="eastAsia"/>
      </w:rPr>
    </w:lvl>
    <w:lvl w:ilvl="3">
      <w:start w:val="1"/>
      <w:numFmt w:val="decimal"/>
      <w:lvlText w:val="%4."/>
      <w:lvlJc w:val="left"/>
      <w:pPr>
        <w:ind w:left="2400" w:hanging="440"/>
      </w:pPr>
      <w:rPr>
        <w:rFonts w:hint="eastAsia"/>
      </w:rPr>
    </w:lvl>
    <w:lvl w:ilvl="4">
      <w:start w:val="1"/>
      <w:numFmt w:val="lowerLetter"/>
      <w:lvlText w:val="%5)"/>
      <w:lvlJc w:val="left"/>
      <w:pPr>
        <w:ind w:left="2840" w:hanging="440"/>
      </w:pPr>
      <w:rPr>
        <w:rFonts w:hint="eastAsia"/>
      </w:rPr>
    </w:lvl>
    <w:lvl w:ilvl="5">
      <w:start w:val="1"/>
      <w:numFmt w:val="lowerRoman"/>
      <w:lvlText w:val="%6."/>
      <w:lvlJc w:val="right"/>
      <w:pPr>
        <w:ind w:left="3280" w:hanging="440"/>
      </w:pPr>
      <w:rPr>
        <w:rFonts w:hint="eastAsia"/>
      </w:rPr>
    </w:lvl>
    <w:lvl w:ilvl="6">
      <w:start w:val="1"/>
      <w:numFmt w:val="decimal"/>
      <w:lvlText w:val="%7."/>
      <w:lvlJc w:val="left"/>
      <w:pPr>
        <w:ind w:left="3720" w:hanging="440"/>
      </w:pPr>
      <w:rPr>
        <w:rFonts w:hint="eastAsia"/>
      </w:rPr>
    </w:lvl>
    <w:lvl w:ilvl="7">
      <w:start w:val="1"/>
      <w:numFmt w:val="lowerLetter"/>
      <w:lvlText w:val="%8)"/>
      <w:lvlJc w:val="left"/>
      <w:pPr>
        <w:ind w:left="4160" w:hanging="440"/>
      </w:pPr>
      <w:rPr>
        <w:rFonts w:hint="eastAsia"/>
      </w:rPr>
    </w:lvl>
    <w:lvl w:ilvl="8">
      <w:start w:val="1"/>
      <w:numFmt w:val="lowerRoman"/>
      <w:lvlText w:val="%9."/>
      <w:lvlJc w:val="right"/>
      <w:pPr>
        <w:ind w:left="4600" w:hanging="440"/>
      </w:pPr>
      <w:rPr>
        <w:rFonts w:hint="eastAsia"/>
      </w:rPr>
    </w:lvl>
  </w:abstractNum>
  <w:num w:numId="1">
    <w:abstractNumId w:val="0"/>
  </w:num>
  <w:num w:numId="2">
    <w:abstractNumId w:val="3"/>
  </w:num>
  <w:num w:numId="3">
    <w:abstractNumId w:val="9"/>
  </w:num>
  <w:num w:numId="4">
    <w:abstractNumId w:val="8"/>
  </w:num>
  <w:num w:numId="5">
    <w:abstractNumId w:val="7"/>
  </w:num>
  <w:num w:numId="6">
    <w:abstractNumId w:val="4"/>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mEyMmU1ZmUwZTk3NWM5ZjA2ZjY0YjQ0Njg3MzUifQ=="/>
  </w:docVars>
  <w:rsids>
    <w:rsidRoot w:val="24FB0CB3"/>
    <w:rsid w:val="00035FE8"/>
    <w:rsid w:val="00402E36"/>
    <w:rsid w:val="00450050"/>
    <w:rsid w:val="0047145C"/>
    <w:rsid w:val="004F7896"/>
    <w:rsid w:val="00547859"/>
    <w:rsid w:val="006A53A0"/>
    <w:rsid w:val="00802A2A"/>
    <w:rsid w:val="00815403"/>
    <w:rsid w:val="00906492"/>
    <w:rsid w:val="00B85985"/>
    <w:rsid w:val="00D03E90"/>
    <w:rsid w:val="00D206B8"/>
    <w:rsid w:val="00D8367D"/>
    <w:rsid w:val="00DE3927"/>
    <w:rsid w:val="00E344DC"/>
    <w:rsid w:val="00E61013"/>
    <w:rsid w:val="00F30178"/>
    <w:rsid w:val="05AB4C80"/>
    <w:rsid w:val="08CB2431"/>
    <w:rsid w:val="097A6225"/>
    <w:rsid w:val="0A166860"/>
    <w:rsid w:val="0AAA507B"/>
    <w:rsid w:val="0ABD6C0F"/>
    <w:rsid w:val="0B5819E8"/>
    <w:rsid w:val="0DAE1841"/>
    <w:rsid w:val="0E2959AF"/>
    <w:rsid w:val="0F64055E"/>
    <w:rsid w:val="0FE2723E"/>
    <w:rsid w:val="11670CD4"/>
    <w:rsid w:val="15E91E8E"/>
    <w:rsid w:val="1A7D0D2F"/>
    <w:rsid w:val="1C7B4D47"/>
    <w:rsid w:val="1EAF6A84"/>
    <w:rsid w:val="1FA213CE"/>
    <w:rsid w:val="22C20FE9"/>
    <w:rsid w:val="24FB0CB3"/>
    <w:rsid w:val="2572302B"/>
    <w:rsid w:val="25D30BEF"/>
    <w:rsid w:val="260F0066"/>
    <w:rsid w:val="271011FD"/>
    <w:rsid w:val="29F7530A"/>
    <w:rsid w:val="2A1B5000"/>
    <w:rsid w:val="33E31994"/>
    <w:rsid w:val="34BF259F"/>
    <w:rsid w:val="36BE58B5"/>
    <w:rsid w:val="36DA3283"/>
    <w:rsid w:val="3BC91DFB"/>
    <w:rsid w:val="3CD60F94"/>
    <w:rsid w:val="41CF1BC8"/>
    <w:rsid w:val="4250230A"/>
    <w:rsid w:val="467A0C7F"/>
    <w:rsid w:val="4EE72FE2"/>
    <w:rsid w:val="50FD4D3F"/>
    <w:rsid w:val="5202559B"/>
    <w:rsid w:val="55C129C0"/>
    <w:rsid w:val="572E4A48"/>
    <w:rsid w:val="5866141B"/>
    <w:rsid w:val="594C6FBE"/>
    <w:rsid w:val="5C394E4E"/>
    <w:rsid w:val="5FD57AE4"/>
    <w:rsid w:val="601A0804"/>
    <w:rsid w:val="65E74864"/>
    <w:rsid w:val="66002819"/>
    <w:rsid w:val="68FA284E"/>
    <w:rsid w:val="698F0033"/>
    <w:rsid w:val="69A11815"/>
    <w:rsid w:val="6B8A70CC"/>
    <w:rsid w:val="6D7970A3"/>
    <w:rsid w:val="6E446376"/>
    <w:rsid w:val="6FB52167"/>
    <w:rsid w:val="71684516"/>
    <w:rsid w:val="71E74CFC"/>
    <w:rsid w:val="72807126"/>
    <w:rsid w:val="738D5B5B"/>
    <w:rsid w:val="76617B81"/>
    <w:rsid w:val="77170351"/>
    <w:rsid w:val="78104F10"/>
    <w:rsid w:val="78335BA8"/>
    <w:rsid w:val="7C1D249A"/>
    <w:rsid w:val="7C5873FC"/>
    <w:rsid w:val="7CA6751E"/>
    <w:rsid w:val="7D34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18CFE-C15A-47F3-B71E-B49848E0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pPr>
      <w:spacing w:after="120"/>
    </w:p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List Paragraph"/>
    <w:basedOn w:val="a"/>
    <w:uiPriority w:val="99"/>
    <w:unhideWhenUsed/>
    <w:qFormat/>
    <w:pPr>
      <w:ind w:firstLineChars="200" w:firstLine="420"/>
    </w:pPr>
  </w:style>
  <w:style w:type="paragraph" w:styleId="a7">
    <w:name w:val="header"/>
    <w:basedOn w:val="a"/>
    <w:link w:val="a8"/>
    <w:rsid w:val="00B859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85985"/>
    <w:rPr>
      <w:rFonts w:asciiTheme="minorHAnsi" w:eastAsiaTheme="minorEastAsia" w:hAnsiTheme="minorHAnsi" w:cstheme="minorBidi"/>
      <w:kern w:val="2"/>
      <w:sz w:val="18"/>
      <w:szCs w:val="18"/>
    </w:rPr>
  </w:style>
  <w:style w:type="paragraph" w:styleId="a9">
    <w:name w:val="footer"/>
    <w:basedOn w:val="a"/>
    <w:link w:val="aa"/>
    <w:uiPriority w:val="99"/>
    <w:rsid w:val="00B85985"/>
    <w:pPr>
      <w:tabs>
        <w:tab w:val="center" w:pos="4153"/>
        <w:tab w:val="right" w:pos="8306"/>
      </w:tabs>
      <w:snapToGrid w:val="0"/>
      <w:jc w:val="left"/>
    </w:pPr>
    <w:rPr>
      <w:sz w:val="18"/>
      <w:szCs w:val="18"/>
    </w:rPr>
  </w:style>
  <w:style w:type="character" w:customStyle="1" w:styleId="aa">
    <w:name w:val="页脚 字符"/>
    <w:basedOn w:val="a0"/>
    <w:link w:val="a9"/>
    <w:uiPriority w:val="99"/>
    <w:rsid w:val="00B859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HZM</dc:creator>
  <cp:lastModifiedBy>庞瑞卿</cp:lastModifiedBy>
  <cp:revision>11</cp:revision>
  <dcterms:created xsi:type="dcterms:W3CDTF">2024-10-16T14:48:00Z</dcterms:created>
  <dcterms:modified xsi:type="dcterms:W3CDTF">2024-12-27T12:29:00Z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479A2C3FB1EC4852A80A9F682EE72E9A_11</vt:lpwstr>
  </property>
</Properties>
</file>