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252F7">
      <w:pPr>
        <w:spacing w:before="156" w:beforeLines="50" w:after="156" w:afterLines="50" w:line="300" w:lineRule="auto"/>
        <w:rPr>
          <w:rFonts w:hint="eastAsia" w:ascii="黑体" w:hAnsi="黑体" w:eastAsia="黑体" w:cs="黑体"/>
          <w:sz w:val="32"/>
          <w:szCs w:val="32"/>
        </w:rPr>
      </w:pPr>
      <w:bookmarkStart w:id="5" w:name="_GoBack"/>
      <w:bookmarkEnd w:id="5"/>
      <w:bookmarkStart w:id="0" w:name="OLE_LINK1"/>
      <w:bookmarkStart w:id="1" w:name="OLE_LINK2"/>
      <w:r>
        <w:rPr>
          <w:rFonts w:hint="eastAsia" w:ascii="黑体" w:hAnsi="黑体" w:eastAsia="黑体" w:cs="黑体"/>
          <w:sz w:val="32"/>
          <w:szCs w:val="32"/>
        </w:rPr>
        <w:t>附件6</w:t>
      </w:r>
    </w:p>
    <w:p w14:paraId="5AD5EC1A">
      <w:pPr>
        <w:spacing w:before="156" w:beforeLines="50" w:after="156" w:afterLines="50" w:line="300" w:lineRule="auto"/>
        <w:jc w:val="center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体外皮肤变态反应ARE-Nrf2荧光素酶LuSens试验</w:t>
      </w:r>
      <w:r>
        <w:rPr>
          <w:rFonts w:hint="eastAsia" w:eastAsia="黑体"/>
          <w:snapToGrid w:val="0"/>
          <w:kern w:val="0"/>
          <w:sz w:val="32"/>
          <w:szCs w:val="32"/>
        </w:rPr>
        <w:t>方法</w:t>
      </w:r>
    </w:p>
    <w:bookmarkEnd w:id="0"/>
    <w:bookmarkEnd w:id="1"/>
    <w:p w14:paraId="11EDCE15">
      <w:pPr>
        <w:spacing w:before="156" w:beforeLines="50" w:after="156" w:afterLines="50" w:line="300" w:lineRule="auto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In Chemico Skin Sensitisation The ARE-Nrf2 Luciferase LuSens Test</w:t>
      </w:r>
    </w:p>
    <w:p w14:paraId="063BB222">
      <w:pPr>
        <w:spacing w:before="156" w:beforeLines="50" w:after="156" w:afterLines="50" w:line="300" w:lineRule="auto"/>
        <w:rPr>
          <w:rFonts w:eastAsia="黑体"/>
          <w:szCs w:val="21"/>
        </w:rPr>
      </w:pPr>
      <w:r>
        <w:rPr>
          <w:rFonts w:eastAsia="黑体"/>
          <w:szCs w:val="21"/>
        </w:rPr>
        <w:t>1  范围</w:t>
      </w:r>
    </w:p>
    <w:p w14:paraId="6DAE48B2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本方法规定了体外皮肤变态反应ARE-Nrf2荧光素酶LuSens试验的基本</w:t>
      </w:r>
      <w:r>
        <w:rPr>
          <w:rFonts w:hint="eastAsia"/>
          <w:snapToGrid w:val="0"/>
        </w:rPr>
        <w:t>原理</w:t>
      </w:r>
      <w:r>
        <w:rPr>
          <w:snapToGrid w:val="0"/>
        </w:rPr>
        <w:t>、</w:t>
      </w:r>
      <w:r>
        <w:rPr>
          <w:rFonts w:hint="eastAsia"/>
          <w:snapToGrid w:val="0"/>
        </w:rPr>
        <w:t>试验方法和技术要求。</w:t>
      </w:r>
    </w:p>
    <w:p w14:paraId="550A7321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本方法适用于化妆品用化学原料潜在致敏性的评价。</w:t>
      </w:r>
    </w:p>
    <w:p w14:paraId="61118DB2">
      <w:pPr>
        <w:spacing w:before="156" w:beforeLines="50" w:after="156" w:afterLines="50" w:line="300" w:lineRule="auto"/>
        <w:rPr>
          <w:rFonts w:eastAsia="黑体"/>
          <w:szCs w:val="21"/>
        </w:rPr>
      </w:pPr>
      <w:r>
        <w:rPr>
          <w:rFonts w:eastAsia="黑体"/>
          <w:szCs w:val="21"/>
        </w:rPr>
        <w:t>2  试验目的</w:t>
      </w:r>
    </w:p>
    <w:p w14:paraId="2B95A466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本试验</w:t>
      </w:r>
      <w:r>
        <w:rPr>
          <w:rFonts w:hint="eastAsia"/>
          <w:snapToGrid w:val="0"/>
        </w:rPr>
        <w:t>通过检</w:t>
      </w:r>
      <w:r>
        <w:rPr>
          <w:snapToGrid w:val="0"/>
        </w:rPr>
        <w:t>测体外培养的LuSens细胞荧光素酶的表达变化，以评价受试物引起皮肤变态反应的可能性。</w:t>
      </w:r>
    </w:p>
    <w:p w14:paraId="5B921368">
      <w:pPr>
        <w:spacing w:before="156" w:beforeLines="50" w:after="156" w:afterLines="50" w:line="300" w:lineRule="auto"/>
        <w:rPr>
          <w:rFonts w:eastAsia="黑体"/>
          <w:szCs w:val="21"/>
        </w:rPr>
      </w:pPr>
      <w:r>
        <w:rPr>
          <w:rFonts w:eastAsia="黑体"/>
          <w:szCs w:val="21"/>
        </w:rPr>
        <w:t>3  定义</w:t>
      </w:r>
    </w:p>
    <w:p w14:paraId="11EC1FA5">
      <w:pPr>
        <w:widowControl/>
        <w:jc w:val="left"/>
        <w:rPr>
          <w:szCs w:val="21"/>
        </w:rPr>
      </w:pPr>
      <w:r>
        <w:rPr>
          <w:szCs w:val="21"/>
        </w:rPr>
        <w:t xml:space="preserve">3.1  75%细胞存活率浓度值  </w:t>
      </w:r>
      <w:r>
        <w:rPr>
          <w:color w:val="000000"/>
          <w:kern w:val="0"/>
          <w:sz w:val="19"/>
          <w:szCs w:val="19"/>
          <w:lang w:bidi="ar"/>
        </w:rPr>
        <w:t>the estimated concentration resulting</w:t>
      </w:r>
      <w:r>
        <w:rPr>
          <w:rFonts w:hint="eastAsia"/>
          <w:color w:val="000000"/>
          <w:kern w:val="0"/>
          <w:sz w:val="19"/>
          <w:szCs w:val="19"/>
          <w:lang w:bidi="ar"/>
        </w:rPr>
        <w:t xml:space="preserve"> </w:t>
      </w:r>
      <w:r>
        <w:rPr>
          <w:color w:val="000000"/>
          <w:kern w:val="0"/>
          <w:sz w:val="19"/>
          <w:szCs w:val="19"/>
          <w:lang w:bidi="ar"/>
        </w:rPr>
        <w:t xml:space="preserve">in </w:t>
      </w:r>
      <w:r>
        <w:rPr>
          <w:szCs w:val="21"/>
        </w:rPr>
        <w:t>75% cell viability（CV75）</w:t>
      </w:r>
    </w:p>
    <w:p w14:paraId="6775CFC2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受试物染毒后，细胞存活率为75%时对应的受试物浓度值。</w:t>
      </w:r>
    </w:p>
    <w:p w14:paraId="4002A7DA">
      <w:pPr>
        <w:spacing w:before="156" w:beforeLines="50" w:after="156" w:afterLines="50" w:line="300" w:lineRule="auto"/>
        <w:rPr>
          <w:szCs w:val="21"/>
        </w:rPr>
      </w:pPr>
      <w:r>
        <w:rPr>
          <w:szCs w:val="21"/>
        </w:rPr>
        <w:t>3.2  抗氧化反应元件  antioxidant response element（ARE）</w:t>
      </w:r>
    </w:p>
    <w:p w14:paraId="1196AEAC">
      <w:pPr>
        <w:spacing w:line="300" w:lineRule="auto"/>
        <w:ind w:firstLine="420" w:firstLineChars="200"/>
        <w:rPr>
          <w:snapToGrid w:val="0"/>
        </w:rPr>
      </w:pPr>
      <w:r>
        <w:rPr>
          <w:rFonts w:hint="eastAsia"/>
          <w:snapToGrid w:val="0"/>
        </w:rPr>
        <w:t>存在于</w:t>
      </w:r>
      <w:r>
        <w:rPr>
          <w:snapToGrid w:val="0"/>
        </w:rPr>
        <w:t>细胞保护基因的启动子</w:t>
      </w:r>
      <w:r>
        <w:rPr>
          <w:rFonts w:hint="eastAsia"/>
          <w:snapToGrid w:val="0"/>
        </w:rPr>
        <w:t>区域，能够响应氧化应激并调控相关基因表达的作用</w:t>
      </w:r>
      <w:r>
        <w:rPr>
          <w:snapToGrid w:val="0"/>
        </w:rPr>
        <w:t>元件。</w:t>
      </w:r>
    </w:p>
    <w:p w14:paraId="3D1E246A">
      <w:pPr>
        <w:spacing w:before="156" w:beforeLines="50" w:after="156" w:afterLines="50" w:line="300" w:lineRule="auto"/>
        <w:rPr>
          <w:szCs w:val="21"/>
        </w:rPr>
      </w:pPr>
      <w:r>
        <w:rPr>
          <w:szCs w:val="21"/>
        </w:rPr>
        <w:t>3.3  荧光素酶活性诱导倍数</w:t>
      </w:r>
      <w:r>
        <w:rPr>
          <w:rFonts w:hint="eastAsia"/>
          <w:szCs w:val="21"/>
        </w:rPr>
        <w:t>f</w:t>
      </w:r>
      <w:r>
        <w:rPr>
          <w:szCs w:val="21"/>
        </w:rPr>
        <w:t xml:space="preserve">old luciferase activity induction（Fold </w:t>
      </w:r>
      <w:r>
        <w:rPr>
          <w:rFonts w:hint="eastAsia"/>
          <w:szCs w:val="21"/>
        </w:rPr>
        <w:t>I</w:t>
      </w:r>
      <w:r>
        <w:rPr>
          <w:szCs w:val="21"/>
        </w:rPr>
        <w:t>nduction）</w:t>
      </w:r>
    </w:p>
    <w:p w14:paraId="0F1BA417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扣除空白对照后，受试物和溶剂对照的细胞发光比值。</w:t>
      </w:r>
    </w:p>
    <w:p w14:paraId="681BF682">
      <w:pPr>
        <w:spacing w:before="156" w:beforeLines="50" w:after="156" w:afterLines="50" w:line="300" w:lineRule="auto"/>
        <w:rPr>
          <w:rFonts w:hint="eastAsia" w:eastAsia="黑体"/>
          <w:szCs w:val="21"/>
        </w:rPr>
      </w:pPr>
      <w:r>
        <w:rPr>
          <w:rFonts w:eastAsia="黑体"/>
          <w:szCs w:val="21"/>
        </w:rPr>
        <w:t>4  试验的基本原</w:t>
      </w:r>
      <w:r>
        <w:rPr>
          <w:rFonts w:hint="eastAsia" w:eastAsia="黑体"/>
          <w:szCs w:val="21"/>
        </w:rPr>
        <w:t>理</w:t>
      </w:r>
    </w:p>
    <w:p w14:paraId="29847980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致敏物质接触皮肤后，角质形成细胞被激活，诱导炎症反应及特定细胞信号通路相关基因的表达。体外培养含有荧光素酶报告基因的人角质形成细胞（LuSens细胞），暴露于受试物，通过计算细胞相对存活率和荧光素酶活性，从而预测受试物是否具有皮肤致敏性。</w:t>
      </w:r>
    </w:p>
    <w:p w14:paraId="1C1E9F9A">
      <w:pPr>
        <w:spacing w:before="156" w:beforeLines="50" w:after="156" w:afterLines="50" w:line="300" w:lineRule="auto"/>
        <w:rPr>
          <w:rFonts w:eastAsia="黑体"/>
          <w:szCs w:val="21"/>
        </w:rPr>
      </w:pPr>
      <w:r>
        <w:rPr>
          <w:rFonts w:eastAsia="黑体"/>
          <w:szCs w:val="21"/>
        </w:rPr>
        <w:t>5  试验材料与试剂</w:t>
      </w:r>
    </w:p>
    <w:p w14:paraId="416B62D2">
      <w:pPr>
        <w:spacing w:before="156" w:beforeLines="50" w:after="156" w:afterLines="50" w:line="300" w:lineRule="auto"/>
        <w:rPr>
          <w:szCs w:val="21"/>
        </w:rPr>
      </w:pPr>
      <w:r>
        <w:rPr>
          <w:szCs w:val="21"/>
        </w:rPr>
        <w:t>5.1  细胞</w:t>
      </w:r>
    </w:p>
    <w:p w14:paraId="2B0D3589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含有ARE荧光素酶报告基因的人角质形成细胞株（LuSens细胞株）。</w:t>
      </w:r>
    </w:p>
    <w:p w14:paraId="4CE61F49">
      <w:pPr>
        <w:spacing w:before="156" w:beforeLines="50" w:after="156" w:afterLines="50" w:line="300" w:lineRule="auto"/>
        <w:rPr>
          <w:szCs w:val="21"/>
        </w:rPr>
      </w:pPr>
      <w:r>
        <w:rPr>
          <w:szCs w:val="21"/>
        </w:rPr>
        <w:t xml:space="preserve">5.2  培养基 </w:t>
      </w:r>
    </w:p>
    <w:p w14:paraId="12E39540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细胞培养液1：</w:t>
      </w:r>
      <w:r>
        <w:rPr>
          <w:rFonts w:hint="eastAsia"/>
          <w:snapToGrid w:val="0"/>
        </w:rPr>
        <w:t>DMEM培养液</w:t>
      </w:r>
      <w:r>
        <w:rPr>
          <w:snapToGrid w:val="0"/>
        </w:rPr>
        <w:t>中加入10%胎牛血清，1%抗生素，0.005%的嘌呤霉素盐酸盐。</w:t>
      </w:r>
    </w:p>
    <w:p w14:paraId="0AACEE96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细胞培养液2：DMEM 培养液中加入10%胎牛血清。</w:t>
      </w:r>
    </w:p>
    <w:p w14:paraId="53241D47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细胞培养液3：DMEM 培养液中加入1%胎牛血清。</w:t>
      </w:r>
    </w:p>
    <w:p w14:paraId="008B255C">
      <w:pPr>
        <w:spacing w:before="156" w:beforeLines="50" w:after="156" w:afterLines="50" w:line="300" w:lineRule="auto"/>
        <w:rPr>
          <w:szCs w:val="21"/>
        </w:rPr>
      </w:pPr>
      <w:r>
        <w:rPr>
          <w:szCs w:val="21"/>
        </w:rPr>
        <w:t xml:space="preserve">5.3  </w:t>
      </w:r>
      <w:r>
        <w:rPr>
          <w:rFonts w:hint="eastAsia"/>
          <w:szCs w:val="21"/>
        </w:rPr>
        <w:t>噻唑蓝（</w:t>
      </w:r>
      <w:r>
        <w:rPr>
          <w:szCs w:val="21"/>
        </w:rPr>
        <w:t>MTT</w:t>
      </w:r>
      <w:r>
        <w:rPr>
          <w:rFonts w:hint="eastAsia"/>
          <w:szCs w:val="21"/>
        </w:rPr>
        <w:t>）</w:t>
      </w:r>
      <w:r>
        <w:rPr>
          <w:szCs w:val="21"/>
        </w:rPr>
        <w:t>检测液</w:t>
      </w:r>
    </w:p>
    <w:p w14:paraId="5618F845">
      <w:pPr>
        <w:spacing w:line="300" w:lineRule="auto"/>
        <w:ind w:firstLine="420" w:firstLineChars="200"/>
        <w:rPr>
          <w:snapToGrid w:val="0"/>
        </w:rPr>
      </w:pPr>
      <w:r>
        <w:rPr>
          <w:rFonts w:hint="eastAsia"/>
          <w:snapToGrid w:val="0"/>
        </w:rPr>
        <w:t>称取</w:t>
      </w:r>
      <w:r>
        <w:rPr>
          <w:snapToGrid w:val="0"/>
        </w:rPr>
        <w:t>MTT</w:t>
      </w:r>
      <w:r>
        <w:rPr>
          <w:rFonts w:hint="eastAsia"/>
          <w:snapToGrid w:val="0"/>
        </w:rPr>
        <w:t>适量，加入不含钙镁的磷酸盐缓冲液（</w:t>
      </w:r>
      <w:r>
        <w:rPr>
          <w:snapToGrid w:val="0"/>
        </w:rPr>
        <w:t>Phosphate-Buffered Saline</w:t>
      </w:r>
      <w:r>
        <w:rPr>
          <w:rFonts w:hint="eastAsia"/>
          <w:snapToGrid w:val="0"/>
        </w:rPr>
        <w:t>，</w:t>
      </w:r>
      <w:r>
        <w:rPr>
          <w:snapToGrid w:val="0"/>
        </w:rPr>
        <w:t>PBS</w:t>
      </w:r>
      <w:r>
        <w:rPr>
          <w:rFonts w:hint="eastAsia"/>
          <w:snapToGrid w:val="0"/>
        </w:rPr>
        <w:t>），溶解并稀释至</w:t>
      </w:r>
      <w:r>
        <w:rPr>
          <w:snapToGrid w:val="0"/>
        </w:rPr>
        <w:t>5mg/mL</w:t>
      </w:r>
      <w:r>
        <w:rPr>
          <w:rFonts w:hint="eastAsia"/>
          <w:snapToGrid w:val="0"/>
        </w:rPr>
        <w:t>的溶液，作为储存液。</w:t>
      </w:r>
    </w:p>
    <w:p w14:paraId="603D9520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工作液：取9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mL细胞培养液3加入1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mL MTT储备液，临用现配。</w:t>
      </w:r>
    </w:p>
    <w:p w14:paraId="612BD6DE">
      <w:pPr>
        <w:spacing w:before="156" w:beforeLines="50" w:after="156" w:afterLines="50" w:line="300" w:lineRule="auto"/>
        <w:rPr>
          <w:szCs w:val="21"/>
        </w:rPr>
      </w:pPr>
      <w:r>
        <w:rPr>
          <w:szCs w:val="21"/>
        </w:rPr>
        <w:t>5.4  细胞裂解液</w:t>
      </w:r>
    </w:p>
    <w:p w14:paraId="75381778">
      <w:pPr>
        <w:spacing w:line="300" w:lineRule="auto"/>
        <w:ind w:firstLine="420" w:firstLineChars="200"/>
        <w:rPr>
          <w:snapToGrid w:val="0"/>
        </w:rPr>
      </w:pPr>
      <w:r>
        <w:rPr>
          <w:rFonts w:hint="eastAsia"/>
          <w:snapToGrid w:val="0"/>
        </w:rPr>
        <w:t>十二烷基硫酸钠（SDS） 10 g</w:t>
      </w:r>
    </w:p>
    <w:p w14:paraId="3AADC75B">
      <w:pPr>
        <w:spacing w:line="300" w:lineRule="auto"/>
        <w:ind w:firstLine="420" w:firstLineChars="200"/>
        <w:rPr>
          <w:snapToGrid w:val="0"/>
        </w:rPr>
      </w:pPr>
      <w:r>
        <w:rPr>
          <w:rFonts w:hint="eastAsia"/>
          <w:snapToGrid w:val="0"/>
        </w:rPr>
        <w:t xml:space="preserve">二甲基亚砜（DMSO）   99.6 mL     </w:t>
      </w:r>
    </w:p>
    <w:p w14:paraId="008212F2">
      <w:pPr>
        <w:spacing w:line="300" w:lineRule="auto"/>
        <w:ind w:firstLine="420" w:firstLineChars="200"/>
        <w:rPr>
          <w:snapToGrid w:val="0"/>
        </w:rPr>
      </w:pPr>
      <w:r>
        <w:rPr>
          <w:rFonts w:hint="eastAsia"/>
          <w:snapToGrid w:val="0"/>
        </w:rPr>
        <w:t>冰醋酸（100%）        0.4 mL</w:t>
      </w:r>
    </w:p>
    <w:p w14:paraId="060F4B0C">
      <w:pPr>
        <w:spacing w:before="156" w:beforeLines="50" w:after="156" w:afterLines="50" w:line="300" w:lineRule="auto"/>
        <w:rPr>
          <w:rFonts w:eastAsia="黑体"/>
          <w:szCs w:val="21"/>
        </w:rPr>
      </w:pPr>
      <w:r>
        <w:rPr>
          <w:rFonts w:eastAsia="黑体"/>
          <w:szCs w:val="21"/>
        </w:rPr>
        <w:t>6 试验方法</w:t>
      </w:r>
    </w:p>
    <w:p w14:paraId="34DDD134">
      <w:pPr>
        <w:spacing w:before="156" w:beforeLines="50" w:after="156" w:afterLines="50" w:line="300" w:lineRule="auto"/>
        <w:rPr>
          <w:szCs w:val="21"/>
        </w:rPr>
      </w:pPr>
      <w:r>
        <w:rPr>
          <w:szCs w:val="21"/>
        </w:rPr>
        <w:t>6.1 细胞培养</w:t>
      </w:r>
    </w:p>
    <w:p w14:paraId="2B05D5D5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LuSens细胞使用细胞培养液1，于37℃、5%CO</w:t>
      </w:r>
      <w:r>
        <w:rPr>
          <w:snapToGrid w:val="0"/>
          <w:vertAlign w:val="subscript"/>
        </w:rPr>
        <w:t>2</w:t>
      </w:r>
      <w:r>
        <w:rPr>
          <w:snapToGrid w:val="0"/>
        </w:rPr>
        <w:t>培养箱内培养，倒置显微镜下观察细胞状态。细胞达80</w:t>
      </w:r>
      <w:r>
        <w:rPr>
          <w:rFonts w:hint="eastAsia"/>
          <w:snapToGrid w:val="0"/>
        </w:rPr>
        <w:t>%~</w:t>
      </w:r>
      <w:r>
        <w:rPr>
          <w:snapToGrid w:val="0"/>
        </w:rPr>
        <w:t>90%融合时可用于测试，传代次数不超过</w:t>
      </w:r>
      <w:r>
        <w:rPr>
          <w:rFonts w:hint="eastAsia"/>
          <w:snapToGrid w:val="0"/>
        </w:rPr>
        <w:t>15</w:t>
      </w:r>
      <w:r>
        <w:rPr>
          <w:snapToGrid w:val="0"/>
        </w:rPr>
        <w:t>代。</w:t>
      </w:r>
    </w:p>
    <w:p w14:paraId="77A8842D">
      <w:pPr>
        <w:spacing w:before="156" w:beforeLines="50" w:after="156" w:afterLines="50" w:line="300" w:lineRule="auto"/>
        <w:rPr>
          <w:szCs w:val="21"/>
        </w:rPr>
      </w:pPr>
      <w:r>
        <w:rPr>
          <w:szCs w:val="21"/>
        </w:rPr>
        <w:t>6.2 受试物处理</w:t>
      </w:r>
    </w:p>
    <w:p w14:paraId="64042B13">
      <w:pPr>
        <w:spacing w:line="300" w:lineRule="auto"/>
        <w:rPr>
          <w:snapToGrid w:val="0"/>
        </w:rPr>
      </w:pPr>
      <w:r>
        <w:rPr>
          <w:snapToGrid w:val="0"/>
        </w:rPr>
        <w:t>6.2.1 溶剂：二甲基亚砜（DMSO）和细胞培养液3。</w:t>
      </w:r>
    </w:p>
    <w:p w14:paraId="0C1B8D8F">
      <w:pPr>
        <w:spacing w:line="300" w:lineRule="auto"/>
        <w:rPr>
          <w:snapToGrid w:val="0"/>
        </w:rPr>
      </w:pPr>
      <w:r>
        <w:rPr>
          <w:snapToGrid w:val="0"/>
        </w:rPr>
        <w:t>6.2.2 细胞毒性预</w:t>
      </w:r>
      <w:r>
        <w:rPr>
          <w:rFonts w:hint="eastAsia"/>
          <w:snapToGrid w:val="0"/>
        </w:rPr>
        <w:t>试</w:t>
      </w:r>
      <w:r>
        <w:rPr>
          <w:snapToGrid w:val="0"/>
        </w:rPr>
        <w:t>验</w:t>
      </w:r>
    </w:p>
    <w:p w14:paraId="1383E220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受试物储备液：采用DMSO为溶剂配制受试物储备液，最大浓度为200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mM，不同剂量间比值为2，</w:t>
      </w:r>
      <w:r>
        <w:rPr>
          <w:rFonts w:hint="eastAsia"/>
          <w:snapToGrid w:val="0"/>
        </w:rPr>
        <w:t>一般</w:t>
      </w:r>
      <w:r>
        <w:rPr>
          <w:snapToGrid w:val="0"/>
        </w:rPr>
        <w:t>设12个浓度。</w:t>
      </w:r>
    </w:p>
    <w:p w14:paraId="6244CBC9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受试物工作液：采用细胞培养液3将储备液稀释100倍，最终测试浓度分别为0.976、1.953、3.906、7.812、15.625、31.25、62.5、125、250、500、1000、2000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μM。若不能得到CV75值，则重复试验降低最大浓度，直到得到CV75值。若2000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μM浓度时仍未观察到细胞毒性，则正式试验中使用2000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μM为最大浓度。</w:t>
      </w:r>
    </w:p>
    <w:p w14:paraId="74344BBC">
      <w:pPr>
        <w:spacing w:line="300" w:lineRule="auto"/>
        <w:rPr>
          <w:snapToGrid w:val="0"/>
        </w:rPr>
      </w:pPr>
      <w:r>
        <w:rPr>
          <w:snapToGrid w:val="0"/>
        </w:rPr>
        <w:t>6.2.3 正式试验</w:t>
      </w:r>
    </w:p>
    <w:p w14:paraId="6302678C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受试物储备液：根据预</w:t>
      </w:r>
      <w:r>
        <w:rPr>
          <w:rFonts w:hint="eastAsia"/>
          <w:snapToGrid w:val="0"/>
        </w:rPr>
        <w:t>试</w:t>
      </w:r>
      <w:r>
        <w:rPr>
          <w:snapToGrid w:val="0"/>
        </w:rPr>
        <w:t>验结果，用DMSO为溶剂配制受试物储备液，最大浓度为1.2×CV75（或2000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μM），不同剂量间比值为1.2，共设6个浓度。</w:t>
      </w:r>
    </w:p>
    <w:p w14:paraId="183B3F38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受试物工作液：采用细胞培养3将储备液稀释100倍，最终测试浓度分别为CV75/2.074、CV75/1.728 、CV75/1.44、CV75/1.2、CV75、CV75×1.2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μM。</w:t>
      </w:r>
    </w:p>
    <w:p w14:paraId="2F9BCCCC">
      <w:pPr>
        <w:spacing w:before="156" w:beforeLines="50" w:after="156" w:afterLines="50" w:line="300" w:lineRule="auto"/>
        <w:rPr>
          <w:szCs w:val="21"/>
        </w:rPr>
      </w:pPr>
      <w:r>
        <w:rPr>
          <w:szCs w:val="21"/>
        </w:rPr>
        <w:t>6.3 阳性对照溶液</w:t>
      </w:r>
      <w:r>
        <w:rPr>
          <w:rFonts w:hint="eastAsia"/>
          <w:szCs w:val="21"/>
        </w:rPr>
        <w:t>配制</w:t>
      </w:r>
    </w:p>
    <w:p w14:paraId="5A121ED2">
      <w:pPr>
        <w:spacing w:line="300" w:lineRule="auto"/>
        <w:rPr>
          <w:snapToGrid w:val="0"/>
        </w:rPr>
      </w:pPr>
      <w:r>
        <w:rPr>
          <w:color w:val="000000"/>
          <w:szCs w:val="21"/>
        </w:rPr>
        <w:t xml:space="preserve">  </w:t>
      </w:r>
      <w:r>
        <w:rPr>
          <w:snapToGrid w:val="0"/>
        </w:rPr>
        <w:t xml:space="preserve">  试验前一天，用DMSO配制12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mM阳性对照</w:t>
      </w:r>
      <w:r>
        <w:rPr>
          <w:rFonts w:hint="eastAsia"/>
          <w:snapToGrid w:val="0"/>
        </w:rPr>
        <w:t>物</w:t>
      </w:r>
      <w:r>
        <w:rPr>
          <w:snapToGrid w:val="0"/>
        </w:rPr>
        <w:t>乙二醇二甲基丙烯酸酯（EGDMA）的储存液，试验时用细胞培养液3稀释至检测浓度为120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μM。</w:t>
      </w:r>
    </w:p>
    <w:p w14:paraId="7B1B8C0D">
      <w:pPr>
        <w:spacing w:before="156" w:beforeLines="50" w:after="156" w:afterLines="50" w:line="300" w:lineRule="auto"/>
        <w:rPr>
          <w:szCs w:val="21"/>
        </w:rPr>
      </w:pPr>
      <w:r>
        <w:rPr>
          <w:szCs w:val="21"/>
        </w:rPr>
        <w:t>6.4 阴性对照溶液配制</w:t>
      </w:r>
    </w:p>
    <w:p w14:paraId="1416F499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试验前一天，用DMSO配制500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mM阴性对照物DL-乳酸的储存液，试验时用细胞培养液3稀释至检测浓度为5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mM。</w:t>
      </w:r>
    </w:p>
    <w:p w14:paraId="7FC95AD4">
      <w:pPr>
        <w:spacing w:before="156" w:beforeLines="50" w:after="156" w:afterLines="50" w:line="300" w:lineRule="auto"/>
        <w:rPr>
          <w:szCs w:val="21"/>
        </w:rPr>
      </w:pPr>
      <w:r>
        <w:rPr>
          <w:szCs w:val="21"/>
        </w:rPr>
        <w:t>6.5 试验步骤</w:t>
      </w:r>
    </w:p>
    <w:p w14:paraId="736A43D6">
      <w:pPr>
        <w:spacing w:line="300" w:lineRule="auto"/>
        <w:rPr>
          <w:snapToGrid w:val="0"/>
        </w:rPr>
      </w:pPr>
      <w:r>
        <w:rPr>
          <w:snapToGrid w:val="0"/>
        </w:rPr>
        <w:t>6.5.1 细胞毒性预</w:t>
      </w:r>
      <w:r>
        <w:rPr>
          <w:rFonts w:hint="eastAsia"/>
          <w:snapToGrid w:val="0"/>
        </w:rPr>
        <w:t>试</w:t>
      </w:r>
      <w:r>
        <w:rPr>
          <w:snapToGrid w:val="0"/>
        </w:rPr>
        <w:t>验</w:t>
      </w:r>
    </w:p>
    <w:p w14:paraId="6A1477F3">
      <w:pPr>
        <w:spacing w:line="300" w:lineRule="auto"/>
        <w:rPr>
          <w:snapToGrid w:val="0"/>
        </w:rPr>
      </w:pPr>
      <w:r>
        <w:rPr>
          <w:snapToGrid w:val="0"/>
        </w:rPr>
        <w:t>6.5.1.1 细胞接种</w:t>
      </w:r>
    </w:p>
    <w:p w14:paraId="6B53456C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细胞生长至80</w:t>
      </w:r>
      <w:r>
        <w:rPr>
          <w:rFonts w:hint="eastAsia"/>
          <w:snapToGrid w:val="0"/>
        </w:rPr>
        <w:t>%</w:t>
      </w:r>
      <w:r>
        <w:rPr>
          <w:snapToGrid w:val="0"/>
        </w:rPr>
        <w:t>～90%</w:t>
      </w:r>
      <w:r>
        <w:rPr>
          <w:rFonts w:hint="eastAsia"/>
          <w:snapToGrid w:val="0"/>
        </w:rPr>
        <w:t>融合</w:t>
      </w:r>
      <w:r>
        <w:rPr>
          <w:snapToGrid w:val="0"/>
        </w:rPr>
        <w:t>后，弃去培养基，</w:t>
      </w:r>
      <w:r>
        <w:rPr>
          <w:rFonts w:hint="eastAsia"/>
          <w:snapToGrid w:val="0"/>
        </w:rPr>
        <w:t>用适量</w:t>
      </w:r>
      <w:r>
        <w:rPr>
          <w:snapToGrid w:val="0"/>
        </w:rPr>
        <w:t>PBS洗2遍，</w:t>
      </w:r>
      <w:r>
        <w:rPr>
          <w:rFonts w:hint="eastAsia"/>
          <w:snapToGrid w:val="0"/>
        </w:rPr>
        <w:t>胰酶-EDTA消化后加入适量细胞培养液2，收集细胞于离心管中，800～1000转/分钟离心5 min，弃上清液后</w:t>
      </w:r>
      <w:r>
        <w:rPr>
          <w:snapToGrid w:val="0"/>
        </w:rPr>
        <w:t>用细胞培养液2重悬，调整细胞浓度为8.3×10</w:t>
      </w:r>
      <w:r>
        <w:rPr>
          <w:snapToGrid w:val="0"/>
          <w:vertAlign w:val="superscript"/>
        </w:rPr>
        <w:t>4</w:t>
      </w:r>
      <w:r>
        <w:rPr>
          <w:snapToGrid w:val="0"/>
        </w:rPr>
        <w:t>个/mL。96孔板中每孔加入120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μL细胞</w:t>
      </w:r>
      <w:r>
        <w:rPr>
          <w:rFonts w:hint="eastAsia"/>
          <w:snapToGrid w:val="0"/>
        </w:rPr>
        <w:t>悬</w:t>
      </w:r>
      <w:r>
        <w:rPr>
          <w:snapToGrid w:val="0"/>
        </w:rPr>
        <w:t>液，37℃，5% CO</w:t>
      </w:r>
      <w:r>
        <w:rPr>
          <w:snapToGrid w:val="0"/>
          <w:vertAlign w:val="subscript"/>
        </w:rPr>
        <w:t>2</w:t>
      </w:r>
      <w:r>
        <w:rPr>
          <w:snapToGrid w:val="0"/>
        </w:rPr>
        <w:t>继续培养24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h。</w:t>
      </w:r>
    </w:p>
    <w:p w14:paraId="1CE4D059">
      <w:pPr>
        <w:spacing w:line="300" w:lineRule="auto"/>
        <w:rPr>
          <w:snapToGrid w:val="0"/>
        </w:rPr>
      </w:pPr>
      <w:r>
        <w:rPr>
          <w:snapToGrid w:val="0"/>
        </w:rPr>
        <w:t>6.5.1.2 受试物染毒</w:t>
      </w:r>
    </w:p>
    <w:p w14:paraId="023DED9E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试验设置阳性对照组、阴性对照组、受试物组、溶剂对照组、空白对照组（只加细胞培养液3），每组至少3个重复孔。将细胞培养板从培养箱中取出，去除培养基，每孔预先加入 150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μL细胞培养液3，再依次加入50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μL受试物或对照溶液，37℃</w:t>
      </w:r>
      <w:r>
        <w:rPr>
          <w:rFonts w:hint="eastAsia"/>
          <w:snapToGrid w:val="0"/>
        </w:rPr>
        <w:t>、</w:t>
      </w:r>
      <w:r>
        <w:rPr>
          <w:snapToGrid w:val="0"/>
        </w:rPr>
        <w:t>5% CO</w:t>
      </w:r>
      <w:r>
        <w:rPr>
          <w:snapToGrid w:val="0"/>
          <w:vertAlign w:val="subscript"/>
        </w:rPr>
        <w:t>2</w:t>
      </w:r>
      <w:r>
        <w:rPr>
          <w:snapToGrid w:val="0"/>
        </w:rPr>
        <w:t>继续培养48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h。</w:t>
      </w:r>
    </w:p>
    <w:p w14:paraId="71FC3936">
      <w:pPr>
        <w:spacing w:line="300" w:lineRule="auto"/>
        <w:rPr>
          <w:snapToGrid w:val="0"/>
        </w:rPr>
      </w:pPr>
      <w:r>
        <w:rPr>
          <w:snapToGrid w:val="0"/>
        </w:rPr>
        <w:t>6.5.1.3  MTT孵育</w:t>
      </w:r>
    </w:p>
    <w:p w14:paraId="39A86053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染毒结束后，去除细胞培养液，每孔加入200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μL MTT工作液，37℃、5% CO</w:t>
      </w:r>
      <w:r>
        <w:rPr>
          <w:snapToGrid w:val="0"/>
          <w:vertAlign w:val="subscript"/>
        </w:rPr>
        <w:t>2</w:t>
      </w:r>
      <w:r>
        <w:rPr>
          <w:snapToGrid w:val="0"/>
        </w:rPr>
        <w:t>孵育2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h。</w:t>
      </w:r>
    </w:p>
    <w:p w14:paraId="7A872F44">
      <w:pPr>
        <w:spacing w:line="300" w:lineRule="auto"/>
        <w:rPr>
          <w:snapToGrid w:val="0"/>
        </w:rPr>
      </w:pPr>
      <w:r>
        <w:rPr>
          <w:snapToGrid w:val="0"/>
        </w:rPr>
        <w:t>6.5.1.4  MTT检测</w:t>
      </w:r>
    </w:p>
    <w:p w14:paraId="3B886E1F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孵育结束后，去除MTT工作液，每孔加入100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μL细胞裂解液，震摇5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min，</w:t>
      </w:r>
      <w:r>
        <w:rPr>
          <w:rFonts w:hint="eastAsia"/>
          <w:snapToGrid w:val="0"/>
        </w:rPr>
        <w:t>采用</w:t>
      </w:r>
      <w:r>
        <w:rPr>
          <w:snapToGrid w:val="0"/>
        </w:rPr>
        <w:t>酶标仪检测</w:t>
      </w:r>
      <w:r>
        <w:rPr>
          <w:rFonts w:hint="eastAsia"/>
          <w:snapToGrid w:val="0"/>
        </w:rPr>
        <w:t>，</w:t>
      </w:r>
      <w:r>
        <w:rPr>
          <w:snapToGrid w:val="0"/>
        </w:rPr>
        <w:t>吸收波长为570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nm，参考波长为690 nm。</w:t>
      </w:r>
    </w:p>
    <w:p w14:paraId="749C15E8">
      <w:pPr>
        <w:spacing w:line="300" w:lineRule="auto"/>
        <w:rPr>
          <w:snapToGrid w:val="0"/>
        </w:rPr>
      </w:pPr>
      <w:r>
        <w:rPr>
          <w:snapToGrid w:val="0"/>
        </w:rPr>
        <w:t>6.5.1.5 细胞存活率（CV75）计算</w:t>
      </w:r>
    </w:p>
    <w:p w14:paraId="16753B74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由得到的吸光度值，计算与溶剂对照相比细胞存活率为75%的受试物浓度。计算方法如下：</w:t>
      </w:r>
    </w:p>
    <w:p w14:paraId="3993D033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选择两个连续浓度，一个细胞存活率大于75%，一个细胞存活率低于75%，则</w:t>
      </w:r>
    </w:p>
    <w:p w14:paraId="2CCA16AA">
      <w:pPr>
        <w:spacing w:line="300" w:lineRule="auto"/>
        <w:ind w:firstLine="420" w:firstLineChars="200"/>
        <w:jc w:val="center"/>
        <w:rPr>
          <w:snapToGrid w:val="0"/>
        </w:rPr>
      </w:pPr>
      <m:oMath>
        <m:r>
          <m:rPr>
            <m:sty m:val="p"/>
          </m:rPr>
          <w:rPr>
            <w:rFonts w:ascii="Cambria Math" w:hAnsi="Cambria Math"/>
            <w:snapToGrid w:val="0"/>
          </w:rPr>
          <m:t>CV75=</m:t>
        </m:r>
        <m:r>
          <m:rPr>
            <m:sty m:val="p"/>
          </m:rPr>
          <w:rPr>
            <w:rFonts w:hint="eastAsia" w:ascii="Cambria Math" w:hAnsi="Cambria Math"/>
            <w:snapToGrid w:val="0"/>
          </w:rPr>
          <m:t>（</m:t>
        </m:r>
        <m:r>
          <m:rPr>
            <m:sty m:val="p"/>
          </m:rPr>
          <w:rPr>
            <w:rFonts w:ascii="Cambria Math" w:hAnsi="Cambria Math"/>
            <w:snapToGrid w:val="0"/>
          </w:rPr>
          <m:t>Cb−C</m:t>
        </m:r>
        <m:r>
          <m:rPr>
            <m:sty m:val="p"/>
          </m:rPr>
          <w:rPr>
            <w:rFonts w:hint="eastAsia" w:ascii="Cambria Math" w:hAnsi="Cambria Math"/>
            <w:snapToGrid w:val="0"/>
          </w:rPr>
          <m:t>a）</m:t>
        </m:r>
        <m:r>
          <m:rPr>
            <m:sty m:val="p"/>
          </m:rPr>
          <w:rPr>
            <w:rFonts w:ascii="Cambria Math" w:hAnsi="Cambria Math"/>
            <w:snapToGrid w:val="0"/>
          </w:rPr>
          <m:t>×</m:t>
        </m:r>
        <m:f>
          <m:fPr>
            <m:ctrlPr>
              <w:rPr>
                <w:rFonts w:ascii="Cambria Math" w:hAnsi="Cambria Math"/>
                <w:snapToGrid w:val="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napToGrid w:val="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napToGrid w:val="0"/>
                  </w:rPr>
                  <m:t>75−Vb</m:t>
                </m:r>
                <m:ctrlPr>
                  <w:rPr>
                    <w:rFonts w:ascii="Cambria Math" w:hAnsi="Cambria Math"/>
                    <w:snapToGrid w:val="0"/>
                  </w:rPr>
                </m:ctrlPr>
              </m:e>
            </m:d>
            <m:ctrlPr>
              <w:rPr>
                <w:rFonts w:ascii="Cambria Math" w:hAnsi="Cambria Math"/>
                <w:snapToGrid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napToGrid w:val="0"/>
              </w:rPr>
              <m:t>(Vb−Va)</m:t>
            </m:r>
            <m:ctrlPr>
              <w:rPr>
                <w:rFonts w:ascii="Cambria Math" w:hAnsi="Cambria Math"/>
                <w:snapToGrid w:val="0"/>
              </w:rPr>
            </m:ctrlPr>
          </m:den>
        </m:f>
      </m:oMath>
      <w:r>
        <w:rPr>
          <w:snapToGrid w:val="0"/>
        </w:rPr>
        <w:t xml:space="preserve">+ </w:t>
      </w:r>
      <m:oMath>
        <m:r>
          <m:rPr>
            <m:sty m:val="p"/>
          </m:rPr>
          <w:rPr>
            <w:rFonts w:ascii="Cambria Math" w:hAnsi="Cambria Math"/>
            <w:snapToGrid w:val="0"/>
          </w:rPr>
          <m:t>Cb</m:t>
        </m:r>
      </m:oMath>
      <w:bookmarkStart w:id="2" w:name="OLE_LINK4"/>
    </w:p>
    <w:p w14:paraId="64148209">
      <w:pPr>
        <w:spacing w:line="300" w:lineRule="auto"/>
        <w:ind w:firstLine="420" w:firstLineChars="200"/>
        <w:rPr>
          <w:snapToGrid w:val="0"/>
        </w:rPr>
      </w:pPr>
      <w:bookmarkStart w:id="3" w:name="_Hlk160912987"/>
      <w:r>
        <w:rPr>
          <w:snapToGrid w:val="0"/>
        </w:rPr>
        <w:t>Ca（μM）：细胞存活率高于75%的最大受试物测试浓度</w:t>
      </w:r>
    </w:p>
    <w:p w14:paraId="7BE5E14B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Cb（μM）：细胞存活率低于75%的最小受试物测试浓度</w:t>
      </w:r>
    </w:p>
    <w:p w14:paraId="3C172BD2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Va：Ca对应的细胞存活率</w:t>
      </w:r>
    </w:p>
    <w:p w14:paraId="2FAE1CD1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Vb：Cb对应的细胞存活率</w:t>
      </w:r>
      <w:bookmarkEnd w:id="2"/>
      <w:bookmarkEnd w:id="3"/>
    </w:p>
    <w:p w14:paraId="20B7785B">
      <w:pPr>
        <w:spacing w:line="300" w:lineRule="auto"/>
        <w:rPr>
          <w:snapToGrid w:val="0"/>
        </w:rPr>
      </w:pPr>
      <w:r>
        <w:rPr>
          <w:snapToGrid w:val="0"/>
        </w:rPr>
        <w:t>6.5.2 正式试验</w:t>
      </w:r>
    </w:p>
    <w:p w14:paraId="4F7C9240">
      <w:pPr>
        <w:spacing w:line="300" w:lineRule="auto"/>
        <w:rPr>
          <w:snapToGrid w:val="0"/>
        </w:rPr>
      </w:pPr>
      <w:r>
        <w:rPr>
          <w:snapToGrid w:val="0"/>
        </w:rPr>
        <w:t>6.5.2.1 细胞接种</w:t>
      </w:r>
    </w:p>
    <w:p w14:paraId="5D3BB47A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细胞生长至80～90%</w:t>
      </w:r>
      <w:r>
        <w:rPr>
          <w:rFonts w:hint="eastAsia"/>
          <w:snapToGrid w:val="0"/>
        </w:rPr>
        <w:t>融合</w:t>
      </w:r>
      <w:r>
        <w:rPr>
          <w:snapToGrid w:val="0"/>
        </w:rPr>
        <w:t>后，弃去培养基，用</w:t>
      </w:r>
      <w:r>
        <w:rPr>
          <w:rFonts w:hint="eastAsia"/>
          <w:snapToGrid w:val="0"/>
        </w:rPr>
        <w:t>适量</w:t>
      </w:r>
      <w:r>
        <w:rPr>
          <w:snapToGrid w:val="0"/>
        </w:rPr>
        <w:t>PBS洗2遍，</w:t>
      </w:r>
      <w:r>
        <w:rPr>
          <w:rFonts w:hint="eastAsia"/>
          <w:snapToGrid w:val="0"/>
        </w:rPr>
        <w:t>胰酶-EDTA消化细胞后加入适量细胞培养液2，收集细胞于离心管中，800～1000转/分钟离心5 min，弃上清液后</w:t>
      </w:r>
      <w:r>
        <w:rPr>
          <w:snapToGrid w:val="0"/>
        </w:rPr>
        <w:t>用细胞培养液2重悬调整细胞浓度为8.3×10</w:t>
      </w:r>
      <w:r>
        <w:rPr>
          <w:snapToGrid w:val="0"/>
          <w:vertAlign w:val="superscript"/>
        </w:rPr>
        <w:t>4</w:t>
      </w:r>
      <w:r>
        <w:rPr>
          <w:snapToGrid w:val="0"/>
        </w:rPr>
        <w:t>个/mL。正式试验中，每个受试物使用一个平底透明的96孔板（用于MTT检测），一个白色不透明的96孔板（用于LuSens检测），96孔板中每孔加入120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μL细胞</w:t>
      </w:r>
      <w:r>
        <w:rPr>
          <w:rFonts w:hint="eastAsia"/>
          <w:snapToGrid w:val="0"/>
        </w:rPr>
        <w:t>悬</w:t>
      </w:r>
      <w:r>
        <w:rPr>
          <w:snapToGrid w:val="0"/>
        </w:rPr>
        <w:t>液，37℃</w:t>
      </w:r>
      <w:r>
        <w:rPr>
          <w:rFonts w:hint="eastAsia"/>
          <w:snapToGrid w:val="0"/>
        </w:rPr>
        <w:t>、</w:t>
      </w:r>
      <w:r>
        <w:rPr>
          <w:snapToGrid w:val="0"/>
        </w:rPr>
        <w:t>5% CO</w:t>
      </w:r>
      <w:r>
        <w:rPr>
          <w:snapToGrid w:val="0"/>
          <w:vertAlign w:val="subscript"/>
        </w:rPr>
        <w:t>2</w:t>
      </w:r>
      <w:r>
        <w:rPr>
          <w:snapToGrid w:val="0"/>
        </w:rPr>
        <w:t>继续培养24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h。</w:t>
      </w:r>
    </w:p>
    <w:p w14:paraId="4B930301">
      <w:pPr>
        <w:spacing w:line="300" w:lineRule="auto"/>
        <w:rPr>
          <w:snapToGrid w:val="0"/>
        </w:rPr>
      </w:pPr>
      <w:r>
        <w:rPr>
          <w:snapToGrid w:val="0"/>
        </w:rPr>
        <w:t xml:space="preserve">6.5.2.2 受试物染毒 </w:t>
      </w:r>
    </w:p>
    <w:p w14:paraId="6265303D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试验设置阳性对照组、阴性对照组、受试物组、溶剂对照组、空白对照组（只加细胞培养液3），每组至少3个重复孔。将细胞培养板从培养箱中取出，去除培养基，每孔预先加入 150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μL细胞培养液3，再依次加入50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μL受试物或对照溶液，37℃</w:t>
      </w:r>
      <w:r>
        <w:rPr>
          <w:rFonts w:hint="eastAsia"/>
          <w:snapToGrid w:val="0"/>
        </w:rPr>
        <w:t>、</w:t>
      </w:r>
      <w:r>
        <w:rPr>
          <w:snapToGrid w:val="0"/>
        </w:rPr>
        <w:t>5% CO</w:t>
      </w:r>
      <w:r>
        <w:rPr>
          <w:snapToGrid w:val="0"/>
          <w:vertAlign w:val="subscript"/>
        </w:rPr>
        <w:t>2</w:t>
      </w:r>
      <w:r>
        <w:rPr>
          <w:snapToGrid w:val="0"/>
        </w:rPr>
        <w:t>继续培养48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h。</w:t>
      </w:r>
    </w:p>
    <w:p w14:paraId="1CA4D669">
      <w:pPr>
        <w:spacing w:line="300" w:lineRule="auto"/>
        <w:rPr>
          <w:snapToGrid w:val="0"/>
        </w:rPr>
      </w:pPr>
      <w:r>
        <w:rPr>
          <w:snapToGrid w:val="0"/>
        </w:rPr>
        <w:t>6.5.2.3 MTT孵育</w:t>
      </w:r>
    </w:p>
    <w:p w14:paraId="018A6D7F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染毒结束后，透明96孔板中去除培养基，每孔加入200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μL MTT工作液，37℃、5% CO</w:t>
      </w:r>
      <w:r>
        <w:rPr>
          <w:snapToGrid w:val="0"/>
          <w:vertAlign w:val="subscript"/>
        </w:rPr>
        <w:t>2</w:t>
      </w:r>
      <w:r>
        <w:rPr>
          <w:snapToGrid w:val="0"/>
        </w:rPr>
        <w:t>孵育2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h。</w:t>
      </w:r>
    </w:p>
    <w:p w14:paraId="72F31D73">
      <w:pPr>
        <w:spacing w:line="300" w:lineRule="auto"/>
        <w:rPr>
          <w:snapToGrid w:val="0"/>
        </w:rPr>
      </w:pPr>
      <w:r>
        <w:rPr>
          <w:snapToGrid w:val="0"/>
        </w:rPr>
        <w:t>6.5.2.4 MTT检测</w:t>
      </w:r>
    </w:p>
    <w:p w14:paraId="35FFF1F8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孵育结束后，去除培养液，每孔加入100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μL 细胞裂解液，震摇5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min，酶标仪检测，吸收波长为570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nm，参考波长为690 nm。</w:t>
      </w:r>
    </w:p>
    <w:p w14:paraId="3D704FB9">
      <w:pPr>
        <w:spacing w:line="300" w:lineRule="auto"/>
        <w:rPr>
          <w:snapToGrid w:val="0"/>
        </w:rPr>
      </w:pPr>
      <w:r>
        <w:rPr>
          <w:snapToGrid w:val="0"/>
        </w:rPr>
        <w:t>6.5.2.5 荧光素酶表达检测</w:t>
      </w:r>
    </w:p>
    <w:p w14:paraId="12EB9432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染毒48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h后，白色96孔板中去除培养基，每孔加入300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μL PBS</w:t>
      </w:r>
      <w:r>
        <w:rPr>
          <w:rFonts w:hint="eastAsia"/>
          <w:snapToGrid w:val="0"/>
        </w:rPr>
        <w:t>（</w:t>
      </w:r>
      <w:r>
        <w:rPr>
          <w:snapToGrid w:val="0"/>
        </w:rPr>
        <w:t>含钙镁</w:t>
      </w:r>
      <w:r>
        <w:rPr>
          <w:rFonts w:hint="eastAsia"/>
          <w:snapToGrid w:val="0"/>
        </w:rPr>
        <w:t>）</w:t>
      </w:r>
      <w:r>
        <w:rPr>
          <w:snapToGrid w:val="0"/>
        </w:rPr>
        <w:t>洗涤2遍后，</w:t>
      </w:r>
      <w:r>
        <w:rPr>
          <w:rFonts w:hint="eastAsia"/>
          <w:snapToGrid w:val="0"/>
        </w:rPr>
        <w:t>按照荧光素酶报告基因检验检测试剂盒要求检测荧光素酶表达</w:t>
      </w:r>
      <w:r>
        <w:rPr>
          <w:snapToGrid w:val="0"/>
        </w:rPr>
        <w:t>。</w:t>
      </w:r>
    </w:p>
    <w:p w14:paraId="347B58CB">
      <w:pPr>
        <w:spacing w:line="300" w:lineRule="auto"/>
        <w:rPr>
          <w:snapToGrid w:val="0"/>
        </w:rPr>
      </w:pPr>
      <w:r>
        <w:rPr>
          <w:snapToGrid w:val="0"/>
        </w:rPr>
        <w:t>6.5.2.6 结果计算</w:t>
      </w:r>
    </w:p>
    <w:p w14:paraId="091F7735">
      <w:pPr>
        <w:spacing w:line="300" w:lineRule="auto"/>
        <w:ind w:firstLine="420" w:firstLineChars="200"/>
        <w:rPr>
          <w:snapToGrid w:val="0"/>
        </w:rPr>
      </w:pPr>
      <m:oMathPara>
        <m:oMath>
          <m:r>
            <m:rPr>
              <m:sty m:val="p"/>
            </m:rPr>
            <w:rPr>
              <w:rFonts w:ascii="Cambria Math" w:hAnsi="Cambria Math"/>
              <w:snapToGrid w:val="0"/>
            </w:rPr>
            <m:t>诱导倍数=</m:t>
          </m:r>
          <m:f>
            <m:fPr>
              <m:ctrlPr>
                <w:rPr>
                  <w:rFonts w:ascii="Cambria Math" w:hAnsi="Cambria Math"/>
                  <w:snapToGrid w:val="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napToGrid w:val="0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napToGrid w:val="0"/>
                    </w:rPr>
                    <m:t>L</m:t>
                  </m:r>
                  <m:ctrlPr>
                    <w:rPr>
                      <w:rFonts w:ascii="Cambria Math" w:hAnsi="Cambria Math"/>
                      <w:snapToGrid w:val="0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napToGrid w:val="0"/>
                    </w:rPr>
                    <m:t>sample</m:t>
                  </m:r>
                  <m:ctrlPr>
                    <w:rPr>
                      <w:rFonts w:ascii="Cambria Math" w:hAnsi="Cambria Math"/>
                      <w:snapToGrid w:val="0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napToGrid w:val="0"/>
                </w:rPr>
                <m:t>−</m:t>
              </m:r>
              <m:sSub>
                <m:sSubPr>
                  <m:ctrlPr>
                    <w:rPr>
                      <w:rFonts w:ascii="Cambria Math" w:hAnsi="Cambria Math"/>
                      <w:snapToGrid w:val="0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napToGrid w:val="0"/>
                    </w:rPr>
                    <m:t>L</m:t>
                  </m:r>
                  <m:ctrlPr>
                    <w:rPr>
                      <w:rFonts w:ascii="Cambria Math" w:hAnsi="Cambria Math"/>
                      <w:snapToGrid w:val="0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napToGrid w:val="0"/>
                    </w:rPr>
                    <m:t>blank</m:t>
                  </m:r>
                  <m:ctrlPr>
                    <w:rPr>
                      <w:rFonts w:ascii="Cambria Math" w:hAnsi="Cambria Math"/>
                      <w:snapToGrid w:val="0"/>
                    </w:rPr>
                  </m:ctrlPr>
                </m:sub>
              </m:sSub>
              <m:ctrlPr>
                <w:rPr>
                  <w:rFonts w:ascii="Cambria Math" w:hAnsi="Cambria Math"/>
                  <w:snapToGrid w:val="0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snapToGrid w:val="0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napToGrid w:val="0"/>
                    </w:rPr>
                    <m:t>L</m:t>
                  </m:r>
                  <m:ctrlPr>
                    <w:rPr>
                      <w:rFonts w:ascii="Cambria Math" w:hAnsi="Cambria Math"/>
                      <w:snapToGrid w:val="0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napToGrid w:val="0"/>
                    </w:rPr>
                    <m:t>solvent</m:t>
                  </m:r>
                  <m:ctrlPr>
                    <w:rPr>
                      <w:rFonts w:ascii="Cambria Math" w:hAnsi="Cambria Math"/>
                      <w:snapToGrid w:val="0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napToGrid w:val="0"/>
                </w:rPr>
                <m:t>−</m:t>
              </m:r>
              <m:sSub>
                <m:sSubPr>
                  <m:ctrlPr>
                    <w:rPr>
                      <w:rFonts w:ascii="Cambria Math" w:hAnsi="Cambria Math"/>
                      <w:snapToGrid w:val="0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napToGrid w:val="0"/>
                    </w:rPr>
                    <m:t>L</m:t>
                  </m:r>
                  <m:ctrlPr>
                    <w:rPr>
                      <w:rFonts w:ascii="Cambria Math" w:hAnsi="Cambria Math"/>
                      <w:snapToGrid w:val="0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napToGrid w:val="0"/>
                    </w:rPr>
                    <m:t>blank</m:t>
                  </m:r>
                  <m:ctrlPr>
                    <w:rPr>
                      <w:rFonts w:ascii="Cambria Math" w:hAnsi="Cambria Math"/>
                      <w:snapToGrid w:val="0"/>
                    </w:rPr>
                  </m:ctrlPr>
                </m:sub>
              </m:sSub>
              <m:ctrlPr>
                <w:rPr>
                  <w:rFonts w:ascii="Cambria Math" w:hAnsi="Cambria Math"/>
                  <w:snapToGrid w:val="0"/>
                </w:rPr>
              </m:ctrlPr>
            </m:den>
          </m:f>
        </m:oMath>
      </m:oMathPara>
    </w:p>
    <w:p w14:paraId="7458317B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L</w:t>
      </w:r>
      <w:bookmarkStart w:id="4" w:name="_Hlk160912232"/>
      <w:r>
        <w:rPr>
          <w:snapToGrid w:val="0"/>
          <w:vertAlign w:val="subscript"/>
        </w:rPr>
        <w:t>sample</w:t>
      </w:r>
      <w:bookmarkEnd w:id="4"/>
      <w:r>
        <w:rPr>
          <w:snapToGrid w:val="0"/>
        </w:rPr>
        <w:t>：受试孔的荧光读数</w:t>
      </w:r>
    </w:p>
    <w:p w14:paraId="743DCC78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L</w:t>
      </w:r>
      <w:r>
        <w:rPr>
          <w:snapToGrid w:val="0"/>
          <w:vertAlign w:val="subscript"/>
        </w:rPr>
        <w:t>blank</w:t>
      </w:r>
      <w:r>
        <w:rPr>
          <w:snapToGrid w:val="0"/>
        </w:rPr>
        <w:t>：不包含细胞和</w:t>
      </w:r>
      <w:r>
        <w:rPr>
          <w:rFonts w:hint="eastAsia"/>
          <w:snapToGrid w:val="0"/>
        </w:rPr>
        <w:t>给予受试物</w:t>
      </w:r>
      <w:r>
        <w:rPr>
          <w:snapToGrid w:val="0"/>
        </w:rPr>
        <w:t>的空白孔的荧光读数</w:t>
      </w:r>
    </w:p>
    <w:p w14:paraId="64C95680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L</w:t>
      </w:r>
      <w:r>
        <w:rPr>
          <w:snapToGrid w:val="0"/>
          <w:vertAlign w:val="subscript"/>
        </w:rPr>
        <w:t>solvent</w:t>
      </w:r>
      <w:r>
        <w:rPr>
          <w:snapToGrid w:val="0"/>
        </w:rPr>
        <w:t>：包含细胞和溶剂对照孔的荧光读数</w:t>
      </w:r>
    </w:p>
    <w:p w14:paraId="107F120C">
      <w:pPr>
        <w:spacing w:before="156" w:beforeLines="50" w:after="156" w:afterLines="50" w:line="300" w:lineRule="auto"/>
        <w:rPr>
          <w:rFonts w:eastAsia="黑体"/>
          <w:szCs w:val="21"/>
        </w:rPr>
      </w:pPr>
      <w:r>
        <w:rPr>
          <w:rFonts w:eastAsia="黑体"/>
          <w:szCs w:val="21"/>
        </w:rPr>
        <w:t>7 结果评价</w:t>
      </w:r>
    </w:p>
    <w:p w14:paraId="1A27D543">
      <w:pPr>
        <w:spacing w:before="156" w:beforeLines="50" w:after="156" w:afterLines="50" w:line="300" w:lineRule="auto"/>
        <w:rPr>
          <w:szCs w:val="21"/>
        </w:rPr>
      </w:pPr>
      <w:r>
        <w:rPr>
          <w:szCs w:val="21"/>
        </w:rPr>
        <w:t>7.1 试验成立的条件</w:t>
      </w:r>
    </w:p>
    <w:p w14:paraId="3AC3F9AA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与溶剂对照相比，阳性对照组</w:t>
      </w:r>
      <w:r>
        <w:rPr>
          <w:rFonts w:hint="eastAsia"/>
          <w:snapToGrid w:val="0"/>
        </w:rPr>
        <w:t>诱导</w:t>
      </w:r>
      <w:r>
        <w:rPr>
          <w:snapToGrid w:val="0"/>
        </w:rPr>
        <w:t>倍数（</w:t>
      </w:r>
      <w:r>
        <w:rPr>
          <w:rFonts w:hint="eastAsia"/>
          <w:snapToGrid w:val="0"/>
        </w:rPr>
        <w:t>F</w:t>
      </w:r>
      <w:r>
        <w:rPr>
          <w:snapToGrid w:val="0"/>
        </w:rPr>
        <w:t xml:space="preserve">old </w:t>
      </w:r>
      <w:r>
        <w:rPr>
          <w:rFonts w:hint="eastAsia"/>
          <w:snapToGrid w:val="0"/>
        </w:rPr>
        <w:t>I</w:t>
      </w:r>
      <w:r>
        <w:rPr>
          <w:snapToGrid w:val="0"/>
        </w:rPr>
        <w:t>nduction）</w:t>
      </w:r>
      <w:r>
        <w:rPr>
          <w:rFonts w:hint="eastAsia" w:asciiTheme="minorEastAsia" w:hAnsiTheme="minorEastAsia" w:eastAsiaTheme="minorEastAsia" w:cstheme="minorEastAsia"/>
          <w:snapToGrid w:val="0"/>
        </w:rPr>
        <w:t>≥</w:t>
      </w:r>
      <w:r>
        <w:rPr>
          <w:snapToGrid w:val="0"/>
        </w:rPr>
        <w:t>2.5，有统计学差异，且细胞存活率</w:t>
      </w:r>
      <w:r>
        <w:rPr>
          <w:rFonts w:hint="eastAsia" w:asciiTheme="minorEastAsia" w:hAnsiTheme="minorEastAsia" w:eastAsiaTheme="minorEastAsia" w:cstheme="minorEastAsia"/>
          <w:snapToGrid w:val="0"/>
        </w:rPr>
        <w:t>≥</w:t>
      </w:r>
      <w:r>
        <w:rPr>
          <w:snapToGrid w:val="0"/>
        </w:rPr>
        <w:t>70%。</w:t>
      </w:r>
    </w:p>
    <w:p w14:paraId="19917B1E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与溶剂对照相比，阴性对照组</w:t>
      </w:r>
      <w:r>
        <w:rPr>
          <w:rFonts w:hint="eastAsia"/>
          <w:snapToGrid w:val="0"/>
        </w:rPr>
        <w:t>诱导</w:t>
      </w:r>
      <w:r>
        <w:rPr>
          <w:snapToGrid w:val="0"/>
        </w:rPr>
        <w:t>倍数（</w:t>
      </w:r>
      <w:r>
        <w:rPr>
          <w:rFonts w:hint="eastAsia"/>
          <w:snapToGrid w:val="0"/>
        </w:rPr>
        <w:t>F</w:t>
      </w:r>
      <w:r>
        <w:rPr>
          <w:snapToGrid w:val="0"/>
        </w:rPr>
        <w:t xml:space="preserve">old </w:t>
      </w:r>
      <w:r>
        <w:rPr>
          <w:rFonts w:hint="eastAsia"/>
          <w:snapToGrid w:val="0"/>
        </w:rPr>
        <w:t>I</w:t>
      </w:r>
      <w:r>
        <w:rPr>
          <w:snapToGrid w:val="0"/>
        </w:rPr>
        <w:t>nduction）＜1.5。</w:t>
      </w:r>
    </w:p>
    <w:p w14:paraId="0E994E54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所有溶剂对照组细胞存活率SD值＜20%。</w:t>
      </w:r>
    </w:p>
    <w:p w14:paraId="4E6A70C9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正式试验中，受试物至少有3个测试浓度细胞存活率＞70%。</w:t>
      </w:r>
    </w:p>
    <w:p w14:paraId="51F40BDA">
      <w:pPr>
        <w:spacing w:before="156" w:beforeLines="50" w:after="156" w:afterLines="50" w:line="300" w:lineRule="auto"/>
        <w:rPr>
          <w:szCs w:val="21"/>
        </w:rPr>
      </w:pPr>
      <w:r>
        <w:rPr>
          <w:szCs w:val="21"/>
        </w:rPr>
        <w:t>7.2 结果判定</w:t>
      </w:r>
    </w:p>
    <w:p w14:paraId="15E30A5A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与溶剂对照组相比，当受试物至少有一个测试浓度细胞毒性＜70%（或者最大无细胞毒性测试浓度达到2000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μM），且平均</w:t>
      </w:r>
      <w:r>
        <w:rPr>
          <w:rFonts w:hint="eastAsia"/>
          <w:snapToGrid w:val="0"/>
        </w:rPr>
        <w:t>诱导</w:t>
      </w:r>
      <w:r>
        <w:rPr>
          <w:snapToGrid w:val="0"/>
        </w:rPr>
        <w:t>倍数＜1.5，则判定结果阴性。</w:t>
      </w:r>
    </w:p>
    <w:p w14:paraId="668F747C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与溶剂对照组相比，当受试物至少三个测试浓度无细胞毒性时，且其中两个连续无毒性浓度</w:t>
      </w:r>
      <w:r>
        <w:rPr>
          <w:rFonts w:hint="eastAsia"/>
          <w:snapToGrid w:val="0"/>
        </w:rPr>
        <w:t>诱导</w:t>
      </w:r>
      <w:r>
        <w:rPr>
          <w:snapToGrid w:val="0"/>
        </w:rPr>
        <w:t>倍数</w:t>
      </w:r>
      <w:r>
        <w:rPr>
          <w:rFonts w:hint="eastAsia" w:asciiTheme="minorEastAsia" w:hAnsiTheme="minorEastAsia" w:eastAsiaTheme="minorEastAsia" w:cstheme="minorEastAsia"/>
          <w:snapToGrid w:val="0"/>
        </w:rPr>
        <w:t>≥</w:t>
      </w:r>
      <w:r>
        <w:rPr>
          <w:snapToGrid w:val="0"/>
        </w:rPr>
        <w:t>1.5，有统计学差异，则判定结果阳性。</w:t>
      </w:r>
    </w:p>
    <w:p w14:paraId="78E5AE3F">
      <w:pPr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要进行致敏性判断，需进行满足7.1条件的重复试验，当两次重复试验结果一致时，不需要进行第三次试验；若不一致，则进行第三次试验。当两次试验结果均为阴性/阳性，才可最终判定受试物致敏性阴性/阳性。</w:t>
      </w:r>
    </w:p>
    <w:p w14:paraId="413E26CE">
      <w:pPr>
        <w:widowControl/>
        <w:jc w:val="left"/>
        <w:rPr>
          <w:snapToGrid w:val="0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5A3BC18B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4F201FA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ZGY5Mzc2NWU5YzczMmNlMTljZTZiMTNmNWYzNTUifQ=="/>
  </w:docVars>
  <w:rsids>
    <w:rsidRoot w:val="7BD425D4"/>
    <w:rsid w:val="00012AFA"/>
    <w:rsid w:val="00013AD3"/>
    <w:rsid w:val="00022312"/>
    <w:rsid w:val="000345E9"/>
    <w:rsid w:val="00034BF6"/>
    <w:rsid w:val="000415A4"/>
    <w:rsid w:val="000520F2"/>
    <w:rsid w:val="00054BB3"/>
    <w:rsid w:val="00066019"/>
    <w:rsid w:val="00072B6E"/>
    <w:rsid w:val="000A26EA"/>
    <w:rsid w:val="000A4502"/>
    <w:rsid w:val="000A757A"/>
    <w:rsid w:val="000B6785"/>
    <w:rsid w:val="000B7E66"/>
    <w:rsid w:val="000E397E"/>
    <w:rsid w:val="000E6A72"/>
    <w:rsid w:val="000E7AA2"/>
    <w:rsid w:val="000F2139"/>
    <w:rsid w:val="000F216C"/>
    <w:rsid w:val="001060A6"/>
    <w:rsid w:val="00113794"/>
    <w:rsid w:val="0012695F"/>
    <w:rsid w:val="00132269"/>
    <w:rsid w:val="00145AA0"/>
    <w:rsid w:val="0015191A"/>
    <w:rsid w:val="0016646F"/>
    <w:rsid w:val="00166658"/>
    <w:rsid w:val="0019349D"/>
    <w:rsid w:val="001B1FFB"/>
    <w:rsid w:val="001C5D23"/>
    <w:rsid w:val="001D1B52"/>
    <w:rsid w:val="001D41EC"/>
    <w:rsid w:val="001D4D3C"/>
    <w:rsid w:val="001F275F"/>
    <w:rsid w:val="002159BD"/>
    <w:rsid w:val="0022265C"/>
    <w:rsid w:val="00222AE6"/>
    <w:rsid w:val="00237582"/>
    <w:rsid w:val="00240E1D"/>
    <w:rsid w:val="0024187E"/>
    <w:rsid w:val="0025067D"/>
    <w:rsid w:val="002515C5"/>
    <w:rsid w:val="0025253B"/>
    <w:rsid w:val="0026557A"/>
    <w:rsid w:val="00272B2D"/>
    <w:rsid w:val="002828D3"/>
    <w:rsid w:val="0029049E"/>
    <w:rsid w:val="002C0917"/>
    <w:rsid w:val="002F6648"/>
    <w:rsid w:val="00301756"/>
    <w:rsid w:val="00311BE5"/>
    <w:rsid w:val="003141A5"/>
    <w:rsid w:val="00327160"/>
    <w:rsid w:val="003364C0"/>
    <w:rsid w:val="00346093"/>
    <w:rsid w:val="0034610D"/>
    <w:rsid w:val="003479AE"/>
    <w:rsid w:val="003525A3"/>
    <w:rsid w:val="00362225"/>
    <w:rsid w:val="00363458"/>
    <w:rsid w:val="00363F6D"/>
    <w:rsid w:val="00364FD9"/>
    <w:rsid w:val="003742D4"/>
    <w:rsid w:val="003824E4"/>
    <w:rsid w:val="0039572E"/>
    <w:rsid w:val="003A0714"/>
    <w:rsid w:val="003A59E0"/>
    <w:rsid w:val="003A6EE4"/>
    <w:rsid w:val="003B6CDC"/>
    <w:rsid w:val="003D17DA"/>
    <w:rsid w:val="003E3CFF"/>
    <w:rsid w:val="00403BC3"/>
    <w:rsid w:val="00424A58"/>
    <w:rsid w:val="0043398D"/>
    <w:rsid w:val="00440FE4"/>
    <w:rsid w:val="004451EF"/>
    <w:rsid w:val="00453B52"/>
    <w:rsid w:val="00456A76"/>
    <w:rsid w:val="0045774E"/>
    <w:rsid w:val="00466836"/>
    <w:rsid w:val="00476782"/>
    <w:rsid w:val="004841E7"/>
    <w:rsid w:val="004A0890"/>
    <w:rsid w:val="004A316D"/>
    <w:rsid w:val="004A3EB1"/>
    <w:rsid w:val="004A5615"/>
    <w:rsid w:val="004C3E5D"/>
    <w:rsid w:val="004D5321"/>
    <w:rsid w:val="004E0BA1"/>
    <w:rsid w:val="004F126B"/>
    <w:rsid w:val="004F78EB"/>
    <w:rsid w:val="00525BF7"/>
    <w:rsid w:val="0053067A"/>
    <w:rsid w:val="00530C32"/>
    <w:rsid w:val="00544DCA"/>
    <w:rsid w:val="00550882"/>
    <w:rsid w:val="00552611"/>
    <w:rsid w:val="005534CF"/>
    <w:rsid w:val="00563FBC"/>
    <w:rsid w:val="0059695A"/>
    <w:rsid w:val="005A27E0"/>
    <w:rsid w:val="005A6586"/>
    <w:rsid w:val="005D1203"/>
    <w:rsid w:val="005F1E90"/>
    <w:rsid w:val="0060334B"/>
    <w:rsid w:val="00625CE5"/>
    <w:rsid w:val="006473C4"/>
    <w:rsid w:val="00650FE2"/>
    <w:rsid w:val="00653CE9"/>
    <w:rsid w:val="0066630D"/>
    <w:rsid w:val="0067095D"/>
    <w:rsid w:val="0067228F"/>
    <w:rsid w:val="006722F5"/>
    <w:rsid w:val="006728FE"/>
    <w:rsid w:val="006809C4"/>
    <w:rsid w:val="00696E42"/>
    <w:rsid w:val="006A2856"/>
    <w:rsid w:val="006C1EE0"/>
    <w:rsid w:val="006D2408"/>
    <w:rsid w:val="006E2CED"/>
    <w:rsid w:val="006F1AF7"/>
    <w:rsid w:val="006F2D6B"/>
    <w:rsid w:val="006F7812"/>
    <w:rsid w:val="0070053A"/>
    <w:rsid w:val="0071673E"/>
    <w:rsid w:val="00721C87"/>
    <w:rsid w:val="00722F2E"/>
    <w:rsid w:val="0074602B"/>
    <w:rsid w:val="00746361"/>
    <w:rsid w:val="00752F27"/>
    <w:rsid w:val="0077169A"/>
    <w:rsid w:val="007A68D6"/>
    <w:rsid w:val="007B193A"/>
    <w:rsid w:val="007B549D"/>
    <w:rsid w:val="007C5102"/>
    <w:rsid w:val="007D6FE0"/>
    <w:rsid w:val="007D716A"/>
    <w:rsid w:val="007F7467"/>
    <w:rsid w:val="00800E84"/>
    <w:rsid w:val="0080141F"/>
    <w:rsid w:val="00801E4C"/>
    <w:rsid w:val="00823912"/>
    <w:rsid w:val="00840515"/>
    <w:rsid w:val="008418DE"/>
    <w:rsid w:val="00872A16"/>
    <w:rsid w:val="00873D4C"/>
    <w:rsid w:val="00894E7A"/>
    <w:rsid w:val="008B3E32"/>
    <w:rsid w:val="008B5828"/>
    <w:rsid w:val="008B7341"/>
    <w:rsid w:val="008D03B9"/>
    <w:rsid w:val="008D0BA8"/>
    <w:rsid w:val="008D75AD"/>
    <w:rsid w:val="008E0E0F"/>
    <w:rsid w:val="008E61CF"/>
    <w:rsid w:val="008F00E0"/>
    <w:rsid w:val="008F1C81"/>
    <w:rsid w:val="00904ABE"/>
    <w:rsid w:val="00910868"/>
    <w:rsid w:val="009119EB"/>
    <w:rsid w:val="00912DE9"/>
    <w:rsid w:val="0092697A"/>
    <w:rsid w:val="00932BFE"/>
    <w:rsid w:val="00933231"/>
    <w:rsid w:val="00936865"/>
    <w:rsid w:val="009374D6"/>
    <w:rsid w:val="009522C1"/>
    <w:rsid w:val="00974DBC"/>
    <w:rsid w:val="009759FE"/>
    <w:rsid w:val="00986AB6"/>
    <w:rsid w:val="009906E4"/>
    <w:rsid w:val="00996068"/>
    <w:rsid w:val="00997F1F"/>
    <w:rsid w:val="009A7F5F"/>
    <w:rsid w:val="009B2DB5"/>
    <w:rsid w:val="009B5915"/>
    <w:rsid w:val="009D5551"/>
    <w:rsid w:val="009D66B9"/>
    <w:rsid w:val="009F156D"/>
    <w:rsid w:val="00A16A9B"/>
    <w:rsid w:val="00A276E0"/>
    <w:rsid w:val="00A62812"/>
    <w:rsid w:val="00A629EF"/>
    <w:rsid w:val="00A71024"/>
    <w:rsid w:val="00A71FDE"/>
    <w:rsid w:val="00AB4990"/>
    <w:rsid w:val="00AC3B23"/>
    <w:rsid w:val="00AC5203"/>
    <w:rsid w:val="00AD5738"/>
    <w:rsid w:val="00AD7542"/>
    <w:rsid w:val="00B0011C"/>
    <w:rsid w:val="00B013D3"/>
    <w:rsid w:val="00B04085"/>
    <w:rsid w:val="00B301EE"/>
    <w:rsid w:val="00B4534E"/>
    <w:rsid w:val="00B512ED"/>
    <w:rsid w:val="00B52718"/>
    <w:rsid w:val="00B53126"/>
    <w:rsid w:val="00B56E48"/>
    <w:rsid w:val="00B571EC"/>
    <w:rsid w:val="00B57C7A"/>
    <w:rsid w:val="00B601AA"/>
    <w:rsid w:val="00B6707D"/>
    <w:rsid w:val="00B673B1"/>
    <w:rsid w:val="00B73476"/>
    <w:rsid w:val="00B745D4"/>
    <w:rsid w:val="00B75D3E"/>
    <w:rsid w:val="00B8655D"/>
    <w:rsid w:val="00B87829"/>
    <w:rsid w:val="00B933AE"/>
    <w:rsid w:val="00BA116D"/>
    <w:rsid w:val="00BA6D2F"/>
    <w:rsid w:val="00BB2720"/>
    <w:rsid w:val="00BB3456"/>
    <w:rsid w:val="00BC1B2F"/>
    <w:rsid w:val="00BE2925"/>
    <w:rsid w:val="00BE5FBD"/>
    <w:rsid w:val="00BF54FA"/>
    <w:rsid w:val="00C05330"/>
    <w:rsid w:val="00C05FF9"/>
    <w:rsid w:val="00C1299E"/>
    <w:rsid w:val="00C27764"/>
    <w:rsid w:val="00C51F6D"/>
    <w:rsid w:val="00C5566B"/>
    <w:rsid w:val="00C6037B"/>
    <w:rsid w:val="00C63277"/>
    <w:rsid w:val="00C67B74"/>
    <w:rsid w:val="00C754BB"/>
    <w:rsid w:val="00C77447"/>
    <w:rsid w:val="00C90842"/>
    <w:rsid w:val="00C90EE2"/>
    <w:rsid w:val="00CB1B8E"/>
    <w:rsid w:val="00CB2CCB"/>
    <w:rsid w:val="00CB5AAA"/>
    <w:rsid w:val="00CC3225"/>
    <w:rsid w:val="00CE5487"/>
    <w:rsid w:val="00D0090E"/>
    <w:rsid w:val="00D15C9D"/>
    <w:rsid w:val="00D15E9D"/>
    <w:rsid w:val="00D16425"/>
    <w:rsid w:val="00D2558D"/>
    <w:rsid w:val="00D27647"/>
    <w:rsid w:val="00D356A5"/>
    <w:rsid w:val="00D3708E"/>
    <w:rsid w:val="00D37F96"/>
    <w:rsid w:val="00D5122C"/>
    <w:rsid w:val="00D630FA"/>
    <w:rsid w:val="00D63A20"/>
    <w:rsid w:val="00D774E3"/>
    <w:rsid w:val="00D8641B"/>
    <w:rsid w:val="00D94D64"/>
    <w:rsid w:val="00DA1254"/>
    <w:rsid w:val="00DB0734"/>
    <w:rsid w:val="00DB3EB1"/>
    <w:rsid w:val="00DB5E86"/>
    <w:rsid w:val="00DC692B"/>
    <w:rsid w:val="00DC71B0"/>
    <w:rsid w:val="00E20AF6"/>
    <w:rsid w:val="00E23A41"/>
    <w:rsid w:val="00E34E67"/>
    <w:rsid w:val="00E40A5B"/>
    <w:rsid w:val="00E66B7F"/>
    <w:rsid w:val="00E6793C"/>
    <w:rsid w:val="00E71317"/>
    <w:rsid w:val="00E72865"/>
    <w:rsid w:val="00E85DCA"/>
    <w:rsid w:val="00E8701E"/>
    <w:rsid w:val="00E93E5E"/>
    <w:rsid w:val="00E94CC4"/>
    <w:rsid w:val="00EA1DFF"/>
    <w:rsid w:val="00EB271C"/>
    <w:rsid w:val="00EB6910"/>
    <w:rsid w:val="00EC788E"/>
    <w:rsid w:val="00EF2760"/>
    <w:rsid w:val="00EF36CA"/>
    <w:rsid w:val="00F215D4"/>
    <w:rsid w:val="00F226C8"/>
    <w:rsid w:val="00F23FFF"/>
    <w:rsid w:val="00F5080C"/>
    <w:rsid w:val="00F64239"/>
    <w:rsid w:val="00F7524A"/>
    <w:rsid w:val="00F90C83"/>
    <w:rsid w:val="00F94C4B"/>
    <w:rsid w:val="00F97C99"/>
    <w:rsid w:val="00FA0CFA"/>
    <w:rsid w:val="00FA287B"/>
    <w:rsid w:val="00FA6CAC"/>
    <w:rsid w:val="00FB063C"/>
    <w:rsid w:val="00FD440A"/>
    <w:rsid w:val="00FD7A11"/>
    <w:rsid w:val="00FF6B17"/>
    <w:rsid w:val="0DCF4B81"/>
    <w:rsid w:val="1D9056BE"/>
    <w:rsid w:val="1E3D4859"/>
    <w:rsid w:val="2F3D5C2B"/>
    <w:rsid w:val="345F58F3"/>
    <w:rsid w:val="35604B84"/>
    <w:rsid w:val="403C6442"/>
    <w:rsid w:val="5FFB4229"/>
    <w:rsid w:val="647D2A1A"/>
    <w:rsid w:val="65606B01"/>
    <w:rsid w:val="75BF4383"/>
    <w:rsid w:val="766050A9"/>
    <w:rsid w:val="790E7FD8"/>
    <w:rsid w:val="7B715CF2"/>
    <w:rsid w:val="7BD425D4"/>
    <w:rsid w:val="9F9B2EB1"/>
    <w:rsid w:val="F9FE7B4A"/>
    <w:rsid w:val="FDFFD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paragraph" w:styleId="3">
    <w:name w:val="heading 2"/>
    <w:next w:val="1"/>
    <w:link w:val="20"/>
    <w:semiHidden/>
    <w:unhideWhenUsed/>
    <w:qFormat/>
    <w:uiPriority w:val="0"/>
    <w:pPr>
      <w:widowControl w:val="0"/>
      <w:spacing w:beforeLines="50" w:afterLines="50" w:line="300" w:lineRule="auto"/>
      <w:jc w:val="both"/>
      <w:outlineLvl w:val="1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21"/>
    <w:unhideWhenUsed/>
    <w:qFormat/>
    <w:uiPriority w:val="0"/>
    <w:pPr>
      <w:autoSpaceDE w:val="0"/>
      <w:autoSpaceDN w:val="0"/>
      <w:spacing w:beforeLines="50" w:line="300" w:lineRule="auto"/>
    </w:pPr>
    <w:rPr>
      <w:rFonts w:ascii="宋体" w:hAnsi="宋体" w:cs="宋体"/>
      <w:kern w:val="0"/>
      <w:szCs w:val="21"/>
      <w:lang w:val="zh-CN" w:bidi="zh-CN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MTConvertedEquation"/>
    <w:qFormat/>
    <w:uiPriority w:val="0"/>
    <w:rPr>
      <w:rFonts w:eastAsia="仿宋"/>
      <w:color w:val="000000"/>
      <w:sz w:val="24"/>
    </w:rPr>
  </w:style>
  <w:style w:type="paragraph" w:customStyle="1" w:styleId="13">
    <w:name w:val="MTDisplayEquation"/>
    <w:basedOn w:val="1"/>
    <w:next w:val="1"/>
    <w:link w:val="14"/>
    <w:qFormat/>
    <w:uiPriority w:val="0"/>
    <w:pPr>
      <w:tabs>
        <w:tab w:val="center" w:pos="4540"/>
        <w:tab w:val="right" w:pos="9080"/>
      </w:tabs>
      <w:spacing w:line="400" w:lineRule="exact"/>
    </w:pPr>
    <w:rPr>
      <w:rFonts w:eastAsia="仿宋"/>
      <w:color w:val="000000"/>
      <w:sz w:val="24"/>
      <w:lang w:val="zh-CN"/>
    </w:rPr>
  </w:style>
  <w:style w:type="character" w:customStyle="1" w:styleId="14">
    <w:name w:val="MTDisplayEquation Char"/>
    <w:link w:val="13"/>
    <w:qFormat/>
    <w:uiPriority w:val="0"/>
    <w:rPr>
      <w:rFonts w:ascii="Times New Roman" w:hAnsi="Times New Roman" w:eastAsia="仿宋"/>
      <w:color w:val="000000"/>
      <w:kern w:val="2"/>
      <w:sz w:val="24"/>
      <w:szCs w:val="24"/>
    </w:rPr>
  </w:style>
  <w:style w:type="paragraph" w:customStyle="1" w:styleId="1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批注框文本 Char"/>
    <w:basedOn w:val="10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styleId="17">
    <w:name w:val="Placeholder Text"/>
    <w:basedOn w:val="10"/>
    <w:unhideWhenUsed/>
    <w:qFormat/>
    <w:uiPriority w:val="99"/>
    <w:rPr>
      <w:color w:val="808080"/>
    </w:rPr>
  </w:style>
  <w:style w:type="character" w:customStyle="1" w:styleId="18">
    <w:name w:val="页脚 Char"/>
    <w:basedOn w:val="10"/>
    <w:link w:val="7"/>
    <w:qFormat/>
    <w:uiPriority w:val="99"/>
    <w:rPr>
      <w:rFonts w:ascii="Times New Roman" w:hAnsi="Times New Roman"/>
      <w:kern w:val="2"/>
      <w:sz w:val="18"/>
      <w:szCs w:val="24"/>
    </w:rPr>
  </w:style>
  <w:style w:type="character" w:customStyle="1" w:styleId="19">
    <w:name w:val="标题 1 Char"/>
    <w:basedOn w:val="10"/>
    <w:link w:val="2"/>
    <w:qFormat/>
    <w:uiPriority w:val="0"/>
    <w:rPr>
      <w:b/>
      <w:kern w:val="44"/>
      <w:sz w:val="44"/>
      <w:szCs w:val="22"/>
    </w:rPr>
  </w:style>
  <w:style w:type="character" w:customStyle="1" w:styleId="20">
    <w:name w:val="标题 2 Char"/>
    <w:basedOn w:val="10"/>
    <w:link w:val="3"/>
    <w:semiHidden/>
    <w:qFormat/>
    <w:uiPriority w:val="0"/>
    <w:rPr>
      <w:rFonts w:ascii="Times New Roman" w:hAnsi="Times New Roman"/>
      <w:color w:val="000000"/>
      <w:kern w:val="2"/>
      <w:sz w:val="21"/>
      <w:szCs w:val="21"/>
    </w:rPr>
  </w:style>
  <w:style w:type="character" w:customStyle="1" w:styleId="21">
    <w:name w:val="正文文本 Char"/>
    <w:basedOn w:val="10"/>
    <w:link w:val="5"/>
    <w:qFormat/>
    <w:uiPriority w:val="0"/>
    <w:rPr>
      <w:rFonts w:ascii="宋体" w:hAnsi="宋体" w:cs="宋体"/>
      <w:sz w:val="21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2558</Words>
  <Characters>3375</Characters>
  <Lines>39</Lines>
  <Paragraphs>11</Paragraphs>
  <TotalTime>86</TotalTime>
  <ScaleCrop>false</ScaleCrop>
  <LinksUpToDate>false</LinksUpToDate>
  <CharactersWithSpaces>3536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2025-04-17T08:31:00Z</dcterms:created>
  <dc:creator>陈国庆</dc:creator>
  <cp:lastModifiedBy>青未了</cp:lastModifiedBy>
  <cp:lastPrinted>2025-05-07T19:10:00Z</cp:lastPrinted>
  <dcterms:modified xsi:type="dcterms:W3CDTF">2025-05-08T01:57:20Z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MTWinEqns">
    <vt:bool>true</vt:bool>
  </property>
  <property fmtid="{D5CDD505-2E9C-101B-9397-08002B2CF9AE}" pid="4" name="ICV">
    <vt:lpwstr>C7DD3CF13D224EDF95C9A2409838492A_13</vt:lpwstr>
  </property>
  <property fmtid="{D5CDD505-2E9C-101B-9397-08002B2CF9AE}" pid="5" name="KSOTemplateDocerSaveRecord">
    <vt:lpwstr>eyJoZGlkIjoiYTE0Y2FjOTQ5ZDQzODA5OTc1MzE3YzdmOGM4MzU3ZDEiLCJ1c2VySWQiOiIxMTc0NzMwMTUyIn0=</vt:lpwstr>
  </property>
</Properties>
</file>