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3D" w:rsidRPr="00CB2722" w:rsidRDefault="0030713D" w:rsidP="0030713D">
      <w:pPr>
        <w:widowControl/>
        <w:snapToGrid w:val="0"/>
        <w:spacing w:beforeLines="50" w:before="156" w:after="0"/>
        <w:rPr>
          <w:rFonts w:ascii="Times New Roman" w:eastAsia="仿宋_GB2312" w:hAnsi="Times New Roman"/>
          <w:color w:val="000000"/>
          <w:sz w:val="32"/>
          <w:szCs w:val="32"/>
        </w:rPr>
      </w:pPr>
      <w:r w:rsidRPr="00CB2722">
        <w:rPr>
          <w:rFonts w:ascii="Times New Roman" w:hAnsi="Times New Roman"/>
          <w:color w:val="000000"/>
          <w:sz w:val="32"/>
          <w:szCs w:val="32"/>
        </w:rPr>
        <w:t>A</w:t>
      </w:r>
      <w:r>
        <w:rPr>
          <w:rFonts w:ascii="Times New Roman" w:hAnsi="Times New Roman"/>
          <w:color w:val="000000"/>
          <w:sz w:val="32"/>
          <w:szCs w:val="32"/>
        </w:rPr>
        <w:t>ppendix</w:t>
      </w:r>
      <w:r w:rsidRPr="00CB2722">
        <w:rPr>
          <w:rFonts w:ascii="Times New Roman" w:hAnsi="Times New Roman"/>
          <w:color w:val="000000"/>
          <w:sz w:val="32"/>
          <w:szCs w:val="32"/>
        </w:rPr>
        <w:t>:</w:t>
      </w:r>
    </w:p>
    <w:p w:rsidR="0030713D" w:rsidRPr="00CB2722" w:rsidRDefault="0030713D" w:rsidP="0030713D">
      <w:pPr>
        <w:widowControl/>
        <w:snapToGrid w:val="0"/>
        <w:spacing w:beforeLines="50" w:before="156" w:after="0"/>
        <w:jc w:val="center"/>
        <w:rPr>
          <w:rFonts w:ascii="Times New Roman" w:eastAsia="方正小标宋简体" w:hAnsi="Times New Roman"/>
          <w:color w:val="000000"/>
          <w:sz w:val="32"/>
          <w:szCs w:val="32"/>
        </w:rPr>
      </w:pPr>
      <w:r w:rsidRPr="00CB2722">
        <w:rPr>
          <w:rFonts w:ascii="Times New Roman" w:hAnsi="Times New Roman"/>
          <w:color w:val="000000"/>
          <w:sz w:val="32"/>
          <w:szCs w:val="32"/>
        </w:rPr>
        <w:t>Center for Food and Drug Inspection of CFDA</w:t>
      </w:r>
    </w:p>
    <w:p w:rsidR="0030713D" w:rsidRDefault="0030713D" w:rsidP="0030713D">
      <w:pPr>
        <w:widowControl/>
        <w:snapToGrid w:val="0"/>
        <w:spacing w:beforeLines="50" w:before="156"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533410">
        <w:rPr>
          <w:rFonts w:ascii="Times New Roman" w:hAnsi="Times New Roman"/>
          <w:color w:val="000000"/>
          <w:sz w:val="32"/>
          <w:szCs w:val="32"/>
        </w:rPr>
        <w:t>Statistical Table of 2017 Annual Information Disclosure</w:t>
      </w:r>
    </w:p>
    <w:p w:rsidR="0030713D" w:rsidRPr="00CB2722" w:rsidRDefault="0030713D" w:rsidP="0030713D">
      <w:pPr>
        <w:snapToGrid w:val="0"/>
        <w:spacing w:beforeLines="50" w:before="156" w:after="0"/>
        <w:rPr>
          <w:rFonts w:ascii="Times New Roman" w:eastAsia="仿宋_GB2312" w:hAnsi="Times New Roman"/>
          <w:color w:val="000000"/>
          <w:sz w:val="32"/>
          <w:szCs w:val="3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4"/>
        <w:gridCol w:w="992"/>
        <w:gridCol w:w="1373"/>
        <w:gridCol w:w="992"/>
      </w:tblGrid>
      <w:tr w:rsidR="0030713D" w:rsidRPr="00CB2722" w:rsidTr="0030713D">
        <w:trPr>
          <w:trHeight w:val="587"/>
          <w:jc w:val="center"/>
        </w:trPr>
        <w:tc>
          <w:tcPr>
            <w:tcW w:w="5994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4" w:hangingChars="44" w:hanging="124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b/>
                <w:sz w:val="28"/>
                <w:szCs w:val="28"/>
              </w:rPr>
              <w:t>Statistical indicators</w:t>
            </w:r>
          </w:p>
        </w:tc>
        <w:tc>
          <w:tcPr>
            <w:tcW w:w="992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b/>
                <w:sz w:val="28"/>
                <w:szCs w:val="28"/>
              </w:rPr>
              <w:t>Unit</w:t>
            </w:r>
          </w:p>
        </w:tc>
        <w:tc>
          <w:tcPr>
            <w:tcW w:w="1373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B2722">
              <w:rPr>
                <w:rFonts w:ascii="Times New Roman" w:hAnsi="Times New Roman"/>
                <w:b/>
                <w:sz w:val="28"/>
                <w:szCs w:val="28"/>
              </w:rPr>
              <w:t>Statistics</w:t>
            </w:r>
          </w:p>
        </w:tc>
        <w:tc>
          <w:tcPr>
            <w:tcW w:w="992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b/>
                <w:sz w:val="28"/>
                <w:szCs w:val="28"/>
              </w:rPr>
              <w:t>Note</w:t>
            </w: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I. Positive Disclosure on the Chinese We</w:t>
            </w:r>
            <w:bookmarkStart w:id="0" w:name="_GoBack"/>
            <w:bookmarkEnd w:id="0"/>
            <w:r w:rsidRPr="00CB2722">
              <w:rPr>
                <w:rFonts w:ascii="Times New Roman" w:hAnsi="Times New Roman"/>
                <w:sz w:val="28"/>
                <w:szCs w:val="28"/>
              </w:rPr>
              <w:t xml:space="preserve">bsite 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(I) Information positively disclosed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Including: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 xml:space="preserve">1. News 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825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2. Announcements and publications about inspection work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194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3. Information about policies, regulations, and work flow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(II) Information Disclosure about Key Areas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1. Announcements and Publications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Including: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Announcement of drug GMP certification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Announcements about qualification verification of drug clinical trial institutions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Publicity of the Information about Drug GMP Certification Review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Announcements about the plan for on-site verification of drug clinical trial data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2. Advance notice and announcement of on-site inspection/verification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1850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Including: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Production site inspection for drug registration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On-site inspection for drug GLP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On-site inspection on the qualifications of drug clinical trial institutions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1136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On-site verification of drug clinical trial data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480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on-site inspection for one-time qualification verification of vaccine clinical trial institutions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 xml:space="preserve">On-site inspection for registration of vaccine clinical </w:t>
            </w:r>
            <w:proofErr w:type="spellStart"/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trialdata</w:t>
            </w:r>
            <w:proofErr w:type="spellEnd"/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(III) Inspection on the Construction and Maintenance of Databases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23302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1. Announcement database for drug GMP certification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20588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2. Announcement database for Chinese medicine materials GAP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176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3. Announcement database for drug GLP certification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107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4. Announcement database for drug clinical trial qualification certification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856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5. Publicity database for drug GMP certification review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1575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(IV) Online consultation and complaints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1. Online consultative reply and release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Online consultations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492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Including: valid consultations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421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Replied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414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Released on the website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342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Replied by email and SMS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Not replied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Invalid consultations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2. Online complaints and handling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Number of online complaints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Including: valid complaints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Transferred to the CFDA</w:t>
            </w:r>
            <w:r w:rsidRPr="00CB2722">
              <w:rPr>
                <w:rFonts w:ascii="Times New Roman" w:hAnsi="Times New Roman"/>
                <w:sz w:val="28"/>
                <w:szCs w:val="28"/>
                <w:cs/>
              </w:rPr>
              <w:t>’</w:t>
            </w:r>
            <w:r w:rsidRPr="00CB2722">
              <w:rPr>
                <w:rFonts w:ascii="Times New Roman" w:hAnsi="Times New Roman"/>
                <w:sz w:val="28"/>
                <w:szCs w:val="28"/>
              </w:rPr>
              <w:t>s Complaints and Reporting Center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lastRenderedPageBreak/>
              <w:t>Processed by the Center</w:t>
            </w:r>
            <w:r w:rsidRPr="00CB2722">
              <w:rPr>
                <w:rFonts w:ascii="Times New Roman" w:hAnsi="Times New Roman"/>
                <w:sz w:val="28"/>
                <w:szCs w:val="28"/>
                <w:cs/>
              </w:rPr>
              <w:t>’</w:t>
            </w:r>
            <w:r w:rsidRPr="00CB2722">
              <w:rPr>
                <w:rFonts w:ascii="Times New Roman" w:hAnsi="Times New Roman"/>
                <w:sz w:val="28"/>
                <w:szCs w:val="28"/>
              </w:rPr>
              <w:t>s relevant offices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Invalid complaints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tabs>
                <w:tab w:val="left" w:pos="570"/>
              </w:tabs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(V) Information Disclosure Channels and Quantity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vAlign w:val="center"/>
          </w:tcPr>
          <w:p w:rsidR="0030713D" w:rsidRPr="00CB2722" w:rsidRDefault="0030713D" w:rsidP="00393E80">
            <w:pPr>
              <w:widowControl/>
              <w:numPr>
                <w:ilvl w:val="0"/>
                <w:numId w:val="1"/>
              </w:num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Information release columns</w:t>
            </w:r>
          </w:p>
        </w:tc>
        <w:tc>
          <w:tcPr>
            <w:tcW w:w="992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2. Inspection columns</w:t>
            </w:r>
          </w:p>
        </w:tc>
        <w:tc>
          <w:tcPr>
            <w:tcW w:w="992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3 Interactive communication columns</w:t>
            </w:r>
          </w:p>
        </w:tc>
        <w:tc>
          <w:tcPr>
            <w:tcW w:w="992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4. Announcement query databases</w:t>
            </w:r>
          </w:p>
        </w:tc>
        <w:tc>
          <w:tcPr>
            <w:tcW w:w="992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5. Acceptance query databases</w:t>
            </w:r>
          </w:p>
        </w:tc>
        <w:tc>
          <w:tcPr>
            <w:tcW w:w="992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6. Progress check databases</w:t>
            </w:r>
          </w:p>
        </w:tc>
        <w:tc>
          <w:tcPr>
            <w:tcW w:w="992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7. Online acceptance cases</w:t>
            </w:r>
          </w:p>
        </w:tc>
        <w:tc>
          <w:tcPr>
            <w:tcW w:w="992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8. Online reporting cases</w:t>
            </w:r>
          </w:p>
        </w:tc>
        <w:tc>
          <w:tcPr>
            <w:tcW w:w="992" w:type="dxa"/>
            <w:vAlign w:val="center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</w:pPr>
            <w:proofErr w:type="gramStart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II. Information release on the English website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161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What's new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Hot topics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sz w:val="28"/>
                <w:szCs w:val="28"/>
              </w:rPr>
              <w:t>Photo news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  <w:lang w:eastAsia="zh-CN"/>
              </w:rPr>
              <w:t>Other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left"/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 xml:space="preserve">III. Information release on the </w:t>
            </w:r>
            <w:proofErr w:type="spellStart"/>
            <w:r w:rsidRPr="00CB2722">
              <w:rPr>
                <w:rFonts w:ascii="Times New Roman" w:hAnsi="Times New Roman"/>
                <w:sz w:val="28"/>
                <w:szCs w:val="28"/>
              </w:rPr>
              <w:t>WeChat</w:t>
            </w:r>
            <w:proofErr w:type="spellEnd"/>
            <w:r w:rsidRPr="00CB2722">
              <w:rPr>
                <w:rFonts w:ascii="Times New Roman" w:hAnsi="Times New Roman"/>
                <w:sz w:val="28"/>
                <w:szCs w:val="28"/>
              </w:rPr>
              <w:t xml:space="preserve"> account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405</w:t>
            </w:r>
          </w:p>
        </w:tc>
        <w:tc>
          <w:tcPr>
            <w:tcW w:w="992" w:type="dxa"/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1. Supervision and Punishment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adjustRightInd w:val="0"/>
              <w:snapToGrid w:val="0"/>
              <w:spacing w:beforeLines="50" w:before="156" w:after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2. Inspection News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adjustRightInd w:val="0"/>
              <w:snapToGrid w:val="0"/>
              <w:spacing w:beforeLines="50" w:before="156" w:after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3. Inspection Research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adjustRightInd w:val="0"/>
              <w:snapToGrid w:val="0"/>
              <w:spacing w:beforeLines="50" w:before="156" w:after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4. Inspection Announcements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adjustRightInd w:val="0"/>
              <w:snapToGrid w:val="0"/>
              <w:spacing w:beforeLines="50" w:before="156" w:after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5. Seek for Public Opinions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6. Inspection plan</w:t>
            </w:r>
            <w:r w:rsidRPr="00CB2722"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adjustRightInd w:val="0"/>
              <w:snapToGrid w:val="0"/>
              <w:spacing w:beforeLines="50" w:before="156" w:after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7. Supervisory Policies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8. Technical Guidelines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RPr="00CB2722" w:rsidTr="0030713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9. Annual Report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0713D" w:rsidTr="0030713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B2722">
              <w:rPr>
                <w:rFonts w:ascii="Times New Roman" w:hAnsi="Times New Roman"/>
                <w:sz w:val="28"/>
                <w:szCs w:val="28"/>
              </w:rPr>
              <w:t>10.</w:t>
            </w:r>
            <w:r w:rsidRPr="00CB272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Other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Pr="00CB2722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pcs</w:t>
            </w:r>
            <w:proofErr w:type="gramEnd"/>
            <w:r w:rsidRPr="00CB272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Default="0030713D" w:rsidP="00393E80">
            <w:pPr>
              <w:widowControl/>
              <w:snapToGrid w:val="0"/>
              <w:spacing w:beforeLines="50" w:before="156" w:after="0"/>
              <w:ind w:left="123" w:hangingChars="44" w:hanging="12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B272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D" w:rsidRDefault="0030713D" w:rsidP="00393E80">
            <w:pPr>
              <w:snapToGrid w:val="0"/>
              <w:spacing w:beforeLines="50" w:before="156"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30713D" w:rsidRDefault="0030713D" w:rsidP="0030713D">
      <w:pPr>
        <w:widowControl/>
        <w:snapToGrid w:val="0"/>
        <w:spacing w:beforeLines="50" w:before="156" w:after="0" w:line="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4D3711" w:rsidRDefault="008E3582"/>
    <w:sectPr w:rsidR="004D3711" w:rsidSect="00BE6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82" w:rsidRDefault="008E3582" w:rsidP="0030713D">
      <w:pPr>
        <w:spacing w:before="0" w:after="0"/>
      </w:pPr>
      <w:r>
        <w:separator/>
      </w:r>
    </w:p>
  </w:endnote>
  <w:endnote w:type="continuationSeparator" w:id="0">
    <w:p w:rsidR="008E3582" w:rsidRDefault="008E3582" w:rsidP="003071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C9" w:rsidRDefault="008E358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C9" w:rsidRDefault="008E3582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  <w:b/>
        <w:sz w:val="24"/>
      </w:rPr>
      <w:fldChar w:fldCharType="begin"/>
    </w:r>
    <w:r>
      <w:rPr>
        <w:rFonts w:ascii="Times New Roman" w:hAnsi="Times New Roman"/>
        <w:b/>
      </w:rPr>
      <w:instrText>PAGE</w:instrText>
    </w:r>
    <w:r>
      <w:rPr>
        <w:rFonts w:ascii="Times New Roman" w:hAnsi="Times New Roman"/>
        <w:b/>
        <w:sz w:val="24"/>
      </w:rPr>
      <w:fldChar w:fldCharType="separate"/>
    </w:r>
    <w:r w:rsidR="0030713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</w:rPr>
      <w:fldChar w:fldCharType="end"/>
    </w:r>
    <w:r>
      <w:rPr>
        <w:rFonts w:ascii="Times New Roman" w:hAnsi="Times New Roman"/>
      </w:rPr>
      <w:t xml:space="preserve"> / </w:t>
    </w:r>
    <w:r>
      <w:rPr>
        <w:rFonts w:ascii="Times New Roman" w:hAnsi="Times New Roman"/>
        <w:b/>
        <w:sz w:val="24"/>
      </w:rPr>
      <w:fldChar w:fldCharType="begin"/>
    </w:r>
    <w:r>
      <w:rPr>
        <w:rFonts w:ascii="Times New Roman" w:hAnsi="Times New Roman"/>
        <w:b/>
      </w:rPr>
      <w:instrText>NUMPAGES</w:instrText>
    </w:r>
    <w:r>
      <w:rPr>
        <w:rFonts w:ascii="Times New Roman" w:hAnsi="Times New Roman"/>
        <w:b/>
        <w:sz w:val="24"/>
      </w:rPr>
      <w:fldChar w:fldCharType="separate"/>
    </w:r>
    <w:r w:rsidR="0030713D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C9" w:rsidRDefault="008E358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82" w:rsidRDefault="008E3582" w:rsidP="0030713D">
      <w:pPr>
        <w:spacing w:before="0" w:after="0"/>
      </w:pPr>
      <w:r>
        <w:separator/>
      </w:r>
    </w:p>
  </w:footnote>
  <w:footnote w:type="continuationSeparator" w:id="0">
    <w:p w:rsidR="008E3582" w:rsidRDefault="008E3582" w:rsidP="003071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C9" w:rsidRDefault="008E358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C9" w:rsidRDefault="008E3582">
    <w:pPr>
      <w:spacing w:before="0"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C9" w:rsidRDefault="008E358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74192"/>
    <w:multiLevelType w:val="multilevel"/>
    <w:tmpl w:val="7AE74192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15"/>
    <w:rsid w:val="0030713D"/>
    <w:rsid w:val="003D4685"/>
    <w:rsid w:val="007E1B15"/>
    <w:rsid w:val="008E3582"/>
    <w:rsid w:val="00E0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433825-8D1E-480C-8162-D413A52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3D"/>
    <w:pPr>
      <w:widowControl w:val="0"/>
      <w:spacing w:before="84" w:after="84"/>
      <w:jc w:val="both"/>
    </w:pPr>
    <w:rPr>
      <w:rFonts w:ascii="Calibri" w:eastAsia="宋体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2018-04-12T07:12:00Z</dcterms:created>
  <dcterms:modified xsi:type="dcterms:W3CDTF">2018-04-12T07:12:00Z</dcterms:modified>
</cp:coreProperties>
</file>